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391" w:lineRule="exact"/>
        <w:rPr>
          <w:sz w:val="24"/>
          <w:szCs w:val="24"/>
          <w:color w:val="auto"/>
        </w:rPr>
      </w:pPr>
    </w:p>
    <w:p>
      <w:pPr>
        <w:ind w:left="3020"/>
        <w:spacing w:after="0"/>
        <w:rPr>
          <w:sz w:val="20"/>
          <w:szCs w:val="20"/>
          <w:color w:val="auto"/>
        </w:rPr>
      </w:pPr>
      <w:r>
        <w:rPr>
          <w:rFonts w:ascii="Arial" w:cs="Arial" w:eastAsia="Arial" w:hAnsi="Arial"/>
          <w:sz w:val="12"/>
          <w:szCs w:val="12"/>
          <w:b w:val="1"/>
          <w:bCs w:val="1"/>
          <w:color w:val="auto"/>
        </w:rPr>
        <w:t>As filed with the Securities and Exchange Commission on October 21, 2021</w:t>
      </w:r>
    </w:p>
    <w:p>
      <w:pPr>
        <w:ind w:left="7960"/>
        <w:spacing w:after="0"/>
        <w:rPr>
          <w:sz w:val="20"/>
          <w:szCs w:val="20"/>
          <w:color w:val="auto"/>
        </w:rPr>
      </w:pPr>
      <w:r>
        <w:rPr>
          <w:rFonts w:ascii="Arial" w:cs="Arial" w:eastAsia="Arial" w:hAnsi="Arial"/>
          <w:sz w:val="12"/>
          <w:szCs w:val="1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wp:posOffset>
            </wp:positionH>
            <wp:positionV relativeFrom="paragraph">
              <wp:posOffset>29845</wp:posOffset>
            </wp:positionV>
            <wp:extent cx="5678805"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78805" cy="1587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61595</wp:posOffset>
            </wp:positionV>
            <wp:extent cx="56788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78805" cy="7620"/>
                    </a:xfrm>
                    <a:prstGeom prst="rect">
                      <a:avLst/>
                    </a:prstGeom>
                    <a:noFill/>
                  </pic:spPr>
                </pic:pic>
              </a:graphicData>
            </a:graphic>
          </wp:anchor>
        </w:drawing>
      </w:r>
    </w:p>
    <w:p>
      <w:pPr>
        <w:spacing w:after="0" w:line="114" w:lineRule="exact"/>
        <w:rPr>
          <w:sz w:val="24"/>
          <w:szCs w:val="24"/>
          <w:color w:val="auto"/>
        </w:rPr>
      </w:pPr>
    </w:p>
    <w:p>
      <w:pPr>
        <w:jc w:val="center"/>
        <w:ind w:right="-360"/>
        <w:spacing w:after="0"/>
        <w:rPr>
          <w:sz w:val="20"/>
          <w:szCs w:val="20"/>
          <w:color w:val="auto"/>
        </w:rPr>
      </w:pPr>
      <w:r>
        <w:rPr>
          <w:rFonts w:ascii="Arial" w:cs="Arial" w:eastAsia="Arial" w:hAnsi="Arial"/>
          <w:sz w:val="23"/>
          <w:szCs w:val="23"/>
          <w:b w:val="1"/>
          <w:bCs w:val="1"/>
          <w:color w:val="auto"/>
        </w:rPr>
        <w:t>UNITED STATES</w:t>
      </w:r>
    </w:p>
    <w:p>
      <w:pPr>
        <w:jc w:val="center"/>
        <w:ind w:right="-360"/>
        <w:spacing w:after="0"/>
        <w:rPr>
          <w:sz w:val="20"/>
          <w:szCs w:val="20"/>
          <w:color w:val="auto"/>
        </w:rPr>
      </w:pPr>
      <w:r>
        <w:rPr>
          <w:rFonts w:ascii="Arial" w:cs="Arial" w:eastAsia="Arial" w:hAnsi="Arial"/>
          <w:sz w:val="23"/>
          <w:szCs w:val="23"/>
          <w:b w:val="1"/>
          <w:bCs w:val="1"/>
          <w:color w:val="auto"/>
        </w:rPr>
        <w:t>SECURITIES AND EXCHANGE COMMISSION</w:t>
      </w:r>
    </w:p>
    <w:p>
      <w:pPr>
        <w:spacing w:after="0" w:line="10" w:lineRule="exact"/>
        <w:rPr>
          <w:sz w:val="24"/>
          <w:szCs w:val="24"/>
          <w:color w:val="auto"/>
        </w:rPr>
      </w:pPr>
    </w:p>
    <w:tbl>
      <w:tblPr>
        <w:tblLayout w:type="fixed"/>
        <w:tblInd w:w="1840"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2940" w:type="dxa"/>
            <w:vAlign w:val="bottom"/>
          </w:tcPr>
          <w:p>
            <w:pPr>
              <w:jc w:val="center"/>
              <w:spacing w:after="0"/>
              <w:rPr>
                <w:sz w:val="20"/>
                <w:szCs w:val="20"/>
                <w:color w:val="auto"/>
              </w:rPr>
            </w:pPr>
            <w:r>
              <w:rPr>
                <w:rFonts w:ascii="Arial" w:cs="Arial" w:eastAsia="Arial" w:hAnsi="Arial"/>
                <w:sz w:val="12"/>
                <w:szCs w:val="12"/>
                <w:b w:val="1"/>
                <w:bCs w:val="1"/>
                <w:color w:val="auto"/>
                <w:w w:val="89"/>
              </w:rPr>
              <w:t>Washington, D.C. 20549</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1660" w:type="dxa"/>
            <w:vAlign w:val="bottom"/>
          </w:tcPr>
          <w:p>
            <w:pPr>
              <w:spacing w:after="0"/>
              <w:rPr>
                <w:sz w:val="24"/>
                <w:szCs w:val="24"/>
                <w:color w:val="auto"/>
              </w:rPr>
            </w:pPr>
          </w:p>
        </w:tc>
        <w:tc>
          <w:tcPr>
            <w:tcW w:w="2940" w:type="dxa"/>
            <w:vAlign w:val="bottom"/>
          </w:tcPr>
          <w:p>
            <w:pPr>
              <w:jc w:val="center"/>
              <w:spacing w:after="0"/>
              <w:rPr>
                <w:sz w:val="20"/>
                <w:szCs w:val="20"/>
                <w:color w:val="auto"/>
              </w:rPr>
            </w:pPr>
            <w:r>
              <w:rPr>
                <w:rFonts w:ascii="Arial" w:cs="Arial" w:eastAsia="Arial" w:hAnsi="Arial"/>
                <w:sz w:val="23"/>
                <w:szCs w:val="23"/>
                <w:b w:val="1"/>
                <w:bCs w:val="1"/>
                <w:color w:val="auto"/>
                <w:w w:val="96"/>
              </w:rPr>
              <w:t>FORM S-3</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660" w:type="dxa"/>
            <w:vAlign w:val="bottom"/>
          </w:tcPr>
          <w:p>
            <w:pPr>
              <w:spacing w:after="0"/>
              <w:rPr>
                <w:sz w:val="13"/>
                <w:szCs w:val="13"/>
                <w:color w:val="auto"/>
              </w:rPr>
            </w:pPr>
          </w:p>
        </w:tc>
        <w:tc>
          <w:tcPr>
            <w:tcW w:w="2940" w:type="dxa"/>
            <w:vAlign w:val="bottom"/>
          </w:tcPr>
          <w:p>
            <w:pPr>
              <w:jc w:val="center"/>
              <w:ind w:right="40"/>
              <w:spacing w:after="0"/>
              <w:rPr>
                <w:sz w:val="20"/>
                <w:szCs w:val="20"/>
                <w:color w:val="auto"/>
              </w:rPr>
            </w:pPr>
            <w:r>
              <w:rPr>
                <w:rFonts w:ascii="Arial" w:cs="Arial" w:eastAsia="Arial" w:hAnsi="Arial"/>
                <w:sz w:val="12"/>
                <w:szCs w:val="12"/>
                <w:b w:val="1"/>
                <w:bCs w:val="1"/>
                <w:color w:val="auto"/>
              </w:rPr>
              <w:t>REGISTRATION STATEMENT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660" w:type="dxa"/>
            <w:vAlign w:val="bottom"/>
          </w:tcPr>
          <w:p>
            <w:pPr>
              <w:spacing w:after="0"/>
              <w:rPr>
                <w:sz w:val="14"/>
                <w:szCs w:val="14"/>
                <w:color w:val="auto"/>
              </w:rPr>
            </w:pPr>
          </w:p>
        </w:tc>
        <w:tc>
          <w:tcPr>
            <w:tcW w:w="2940" w:type="dxa"/>
            <w:vAlign w:val="bottom"/>
          </w:tcPr>
          <w:p>
            <w:pPr>
              <w:jc w:val="center"/>
              <w:spacing w:after="0"/>
              <w:rPr>
                <w:sz w:val="20"/>
                <w:szCs w:val="20"/>
                <w:color w:val="auto"/>
              </w:rPr>
            </w:pPr>
            <w:r>
              <w:rPr>
                <w:rFonts w:ascii="Arial" w:cs="Arial" w:eastAsia="Arial" w:hAnsi="Arial"/>
                <w:sz w:val="12"/>
                <w:szCs w:val="12"/>
                <w:b w:val="1"/>
                <w:bCs w:val="1"/>
                <w:color w:val="auto"/>
                <w:w w:val="99"/>
              </w:rPr>
              <w:t>UNDER THE SECURITIES ACT OF 1933</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660" w:type="dxa"/>
            <w:vAlign w:val="bottom"/>
          </w:tcPr>
          <w:p>
            <w:pPr>
              <w:spacing w:after="0"/>
              <w:rPr>
                <w:sz w:val="20"/>
                <w:szCs w:val="20"/>
                <w:color w:val="auto"/>
              </w:rPr>
            </w:pPr>
          </w:p>
        </w:tc>
        <w:tc>
          <w:tcPr>
            <w:tcW w:w="2940" w:type="dxa"/>
            <w:vAlign w:val="bottom"/>
          </w:tcPr>
          <w:p>
            <w:pPr>
              <w:jc w:val="center"/>
              <w:spacing w:after="0" w:line="232" w:lineRule="exact"/>
              <w:rPr>
                <w:sz w:val="20"/>
                <w:szCs w:val="20"/>
                <w:color w:val="auto"/>
              </w:rPr>
            </w:pPr>
            <w:r>
              <w:rPr>
                <w:rFonts w:ascii="Arial" w:cs="Arial" w:eastAsia="Arial" w:hAnsi="Arial"/>
                <w:sz w:val="23"/>
                <w:szCs w:val="23"/>
                <w:b w:val="1"/>
                <w:bCs w:val="1"/>
                <w:color w:val="auto"/>
                <w:w w:val="95"/>
              </w:rPr>
              <w:t>IVERIC bio, Inc.</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16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1"/>
              </w:rPr>
              <w:t>Delaware</w:t>
            </w:r>
          </w:p>
        </w:tc>
        <w:tc>
          <w:tcPr>
            <w:tcW w:w="2940" w:type="dxa"/>
            <w:vAlign w:val="bottom"/>
          </w:tcPr>
          <w:p>
            <w:pPr>
              <w:jc w:val="center"/>
              <w:ind w:right="20"/>
              <w:spacing w:after="0"/>
              <w:rPr>
                <w:sz w:val="20"/>
                <w:szCs w:val="20"/>
                <w:color w:val="auto"/>
              </w:rPr>
            </w:pPr>
            <w:r>
              <w:rPr>
                <w:rFonts w:ascii="Arial" w:cs="Arial" w:eastAsia="Arial" w:hAnsi="Arial"/>
                <w:sz w:val="12"/>
                <w:szCs w:val="12"/>
                <w:color w:val="auto"/>
                <w:w w:val="97"/>
              </w:rPr>
              <w:t>(Exact name of registrant as specified in its charter)</w:t>
            </w:r>
          </w:p>
        </w:tc>
        <w:tc>
          <w:tcPr>
            <w:tcW w:w="1360" w:type="dxa"/>
            <w:vAlign w:val="bottom"/>
            <w:vMerge w:val="restart"/>
          </w:tcPr>
          <w:p>
            <w:pPr>
              <w:jc w:val="center"/>
              <w:ind w:left="78"/>
              <w:spacing w:after="0"/>
              <w:rPr>
                <w:sz w:val="20"/>
                <w:szCs w:val="20"/>
                <w:color w:val="auto"/>
              </w:rPr>
            </w:pPr>
            <w:r>
              <w:rPr>
                <w:rFonts w:ascii="Arial" w:cs="Arial" w:eastAsia="Arial" w:hAnsi="Arial"/>
                <w:sz w:val="12"/>
                <w:szCs w:val="12"/>
                <w:b w:val="1"/>
                <w:bCs w:val="1"/>
                <w:color w:val="auto"/>
                <w:w w:val="90"/>
              </w:rPr>
              <w:t>20-8185347</w:t>
            </w:r>
          </w:p>
        </w:tc>
        <w:tc>
          <w:tcPr>
            <w:tcW w:w="0" w:type="dxa"/>
            <w:vAlign w:val="bottom"/>
          </w:tcPr>
          <w:p>
            <w:pPr>
              <w:spacing w:after="0"/>
              <w:rPr>
                <w:sz w:val="1"/>
                <w:szCs w:val="1"/>
                <w:color w:val="auto"/>
              </w:rPr>
            </w:pPr>
          </w:p>
        </w:tc>
      </w:tr>
      <w:tr>
        <w:trPr>
          <w:trHeight w:val="83"/>
        </w:trPr>
        <w:tc>
          <w:tcPr>
            <w:tcW w:w="1660" w:type="dxa"/>
            <w:vAlign w:val="bottom"/>
            <w:vMerge w:val="continue"/>
          </w:tcPr>
          <w:p>
            <w:pPr>
              <w:spacing w:after="0"/>
              <w:rPr>
                <w:sz w:val="7"/>
                <w:szCs w:val="7"/>
                <w:color w:val="auto"/>
              </w:rPr>
            </w:pPr>
          </w:p>
        </w:tc>
        <w:tc>
          <w:tcPr>
            <w:tcW w:w="294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660" w:type="dxa"/>
            <w:vAlign w:val="bottom"/>
          </w:tcPr>
          <w:p>
            <w:pPr>
              <w:jc w:val="center"/>
              <w:ind w:right="38"/>
              <w:spacing w:after="0" w:line="124" w:lineRule="exact"/>
              <w:rPr>
                <w:sz w:val="20"/>
                <w:szCs w:val="20"/>
                <w:color w:val="auto"/>
              </w:rPr>
            </w:pPr>
            <w:r>
              <w:rPr>
                <w:rFonts w:ascii="Arial" w:cs="Arial" w:eastAsia="Arial" w:hAnsi="Arial"/>
                <w:sz w:val="12"/>
                <w:szCs w:val="12"/>
                <w:color w:val="auto"/>
              </w:rPr>
              <w:t>(State or other jurisdiction of</w:t>
            </w:r>
          </w:p>
        </w:tc>
        <w:tc>
          <w:tcPr>
            <w:tcW w:w="2940" w:type="dxa"/>
            <w:vAlign w:val="bottom"/>
          </w:tcPr>
          <w:p>
            <w:pPr>
              <w:spacing w:after="0"/>
              <w:rPr>
                <w:sz w:val="10"/>
                <w:szCs w:val="10"/>
                <w:color w:val="auto"/>
              </w:rPr>
            </w:pPr>
          </w:p>
        </w:tc>
        <w:tc>
          <w:tcPr>
            <w:tcW w:w="1360" w:type="dxa"/>
            <w:vAlign w:val="bottom"/>
          </w:tcPr>
          <w:p>
            <w:pPr>
              <w:jc w:val="center"/>
              <w:ind w:left="58"/>
              <w:spacing w:after="0" w:line="124" w:lineRule="exact"/>
              <w:rPr>
                <w:sz w:val="20"/>
                <w:szCs w:val="20"/>
                <w:color w:val="auto"/>
              </w:rPr>
            </w:pPr>
            <w:r>
              <w:rPr>
                <w:rFonts w:ascii="Arial" w:cs="Arial" w:eastAsia="Arial" w:hAnsi="Arial"/>
                <w:sz w:val="12"/>
                <w:szCs w:val="12"/>
                <w:color w:val="auto"/>
                <w:w w:val="99"/>
              </w:rPr>
              <w:t>(I.R.S. Employer</w:t>
            </w:r>
          </w:p>
        </w:tc>
        <w:tc>
          <w:tcPr>
            <w:tcW w:w="0" w:type="dxa"/>
            <w:vAlign w:val="bottom"/>
          </w:tcPr>
          <w:p>
            <w:pPr>
              <w:spacing w:after="0"/>
              <w:rPr>
                <w:sz w:val="1"/>
                <w:szCs w:val="1"/>
                <w:color w:val="auto"/>
              </w:rPr>
            </w:pPr>
          </w:p>
        </w:tc>
      </w:tr>
      <w:tr>
        <w:trPr>
          <w:trHeight w:val="157"/>
        </w:trPr>
        <w:tc>
          <w:tcPr>
            <w:tcW w:w="1660" w:type="dxa"/>
            <w:vAlign w:val="bottom"/>
          </w:tcPr>
          <w:p>
            <w:pPr>
              <w:jc w:val="center"/>
              <w:ind w:right="18"/>
              <w:spacing w:after="0"/>
              <w:rPr>
                <w:sz w:val="20"/>
                <w:szCs w:val="20"/>
                <w:color w:val="auto"/>
              </w:rPr>
            </w:pPr>
            <w:r>
              <w:rPr>
                <w:rFonts w:ascii="Arial" w:cs="Arial" w:eastAsia="Arial" w:hAnsi="Arial"/>
                <w:sz w:val="12"/>
                <w:szCs w:val="12"/>
                <w:color w:val="auto"/>
              </w:rPr>
              <w:t>incorporation or organization)</w:t>
            </w:r>
          </w:p>
        </w:tc>
        <w:tc>
          <w:tcPr>
            <w:tcW w:w="2940" w:type="dxa"/>
            <w:vAlign w:val="bottom"/>
          </w:tcPr>
          <w:p>
            <w:pPr>
              <w:spacing w:after="0"/>
              <w:rPr>
                <w:sz w:val="13"/>
                <w:szCs w:val="13"/>
                <w:color w:val="auto"/>
              </w:rPr>
            </w:pPr>
          </w:p>
        </w:tc>
        <w:tc>
          <w:tcPr>
            <w:tcW w:w="1360" w:type="dxa"/>
            <w:vAlign w:val="bottom"/>
          </w:tcPr>
          <w:p>
            <w:pPr>
              <w:jc w:val="center"/>
              <w:ind w:left="98"/>
              <w:spacing w:after="0"/>
              <w:rPr>
                <w:sz w:val="20"/>
                <w:szCs w:val="20"/>
                <w:color w:val="auto"/>
              </w:rPr>
            </w:pPr>
            <w:r>
              <w:rPr>
                <w:rFonts w:ascii="Arial" w:cs="Arial" w:eastAsia="Arial" w:hAnsi="Arial"/>
                <w:sz w:val="12"/>
                <w:szCs w:val="12"/>
                <w:color w:val="auto"/>
              </w:rPr>
              <w:t>Identification Number)</w:t>
            </w:r>
          </w:p>
        </w:tc>
        <w:tc>
          <w:tcPr>
            <w:tcW w:w="0" w:type="dxa"/>
            <w:vAlign w:val="bottom"/>
          </w:tcPr>
          <w:p>
            <w:pPr>
              <w:spacing w:after="0"/>
              <w:rPr>
                <w:sz w:val="1"/>
                <w:szCs w:val="1"/>
                <w:color w:val="auto"/>
              </w:rPr>
            </w:pPr>
          </w:p>
        </w:tc>
      </w:tr>
    </w:tbl>
    <w:p>
      <w:pPr>
        <w:spacing w:after="0" w:line="50" w:lineRule="exact"/>
        <w:rPr>
          <w:sz w:val="24"/>
          <w:szCs w:val="24"/>
          <w:color w:val="auto"/>
        </w:rPr>
      </w:pPr>
    </w:p>
    <w:p>
      <w:pPr>
        <w:ind w:left="4220"/>
        <w:spacing w:after="0"/>
        <w:rPr>
          <w:sz w:val="20"/>
          <w:szCs w:val="20"/>
          <w:color w:val="auto"/>
        </w:rPr>
      </w:pPr>
      <w:r>
        <w:rPr>
          <w:rFonts w:ascii="Arial" w:cs="Arial" w:eastAsia="Arial" w:hAnsi="Arial"/>
          <w:sz w:val="12"/>
          <w:szCs w:val="12"/>
          <w:b w:val="1"/>
          <w:bCs w:val="1"/>
          <w:color w:val="auto"/>
        </w:rPr>
        <w:t>Five Penn Plaza, Suite 2372</w:t>
      </w:r>
    </w:p>
    <w:p>
      <w:pPr>
        <w:ind w:left="4380"/>
        <w:spacing w:after="0" w:line="215" w:lineRule="auto"/>
        <w:rPr>
          <w:sz w:val="20"/>
          <w:szCs w:val="20"/>
          <w:color w:val="auto"/>
        </w:rPr>
      </w:pPr>
      <w:r>
        <w:rPr>
          <w:rFonts w:ascii="Arial" w:cs="Arial" w:eastAsia="Arial" w:hAnsi="Arial"/>
          <w:sz w:val="12"/>
          <w:szCs w:val="12"/>
          <w:b w:val="1"/>
          <w:bCs w:val="1"/>
          <w:color w:val="auto"/>
        </w:rPr>
        <w:t>New York, NY 10001</w:t>
      </w:r>
    </w:p>
    <w:p>
      <w:pPr>
        <w:ind w:left="4560"/>
        <w:spacing w:after="0" w:line="216" w:lineRule="auto"/>
        <w:rPr>
          <w:sz w:val="20"/>
          <w:szCs w:val="20"/>
          <w:color w:val="auto"/>
        </w:rPr>
      </w:pPr>
      <w:r>
        <w:rPr>
          <w:rFonts w:ascii="Arial" w:cs="Arial" w:eastAsia="Arial" w:hAnsi="Arial"/>
          <w:sz w:val="12"/>
          <w:szCs w:val="12"/>
          <w:b w:val="1"/>
          <w:bCs w:val="1"/>
          <w:color w:val="auto"/>
        </w:rPr>
        <w:t>(212) 845-8200</w:t>
      </w:r>
    </w:p>
    <w:p>
      <w:pPr>
        <w:ind w:left="1760"/>
        <w:spacing w:after="0"/>
        <w:rPr>
          <w:sz w:val="20"/>
          <w:szCs w:val="20"/>
          <w:color w:val="auto"/>
        </w:rPr>
      </w:pPr>
      <w:r>
        <w:rPr>
          <w:rFonts w:ascii="Arial" w:cs="Arial" w:eastAsia="Arial" w:hAnsi="Arial"/>
          <w:sz w:val="12"/>
          <w:szCs w:val="12"/>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2563495</wp:posOffset>
            </wp:positionH>
            <wp:positionV relativeFrom="paragraph">
              <wp:posOffset>29845</wp:posOffset>
            </wp:positionV>
            <wp:extent cx="113411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76" w:lineRule="exact"/>
        <w:rPr>
          <w:sz w:val="24"/>
          <w:szCs w:val="24"/>
          <w:color w:val="auto"/>
        </w:rPr>
      </w:pPr>
    </w:p>
    <w:p>
      <w:pPr>
        <w:ind w:left="4400"/>
        <w:spacing w:after="0"/>
        <w:rPr>
          <w:sz w:val="20"/>
          <w:szCs w:val="20"/>
          <w:color w:val="auto"/>
        </w:rPr>
      </w:pPr>
      <w:r>
        <w:rPr>
          <w:rFonts w:ascii="Arial" w:cs="Arial" w:eastAsia="Arial" w:hAnsi="Arial"/>
          <w:sz w:val="12"/>
          <w:szCs w:val="12"/>
          <w:b w:val="1"/>
          <w:bCs w:val="1"/>
          <w:color w:val="auto"/>
        </w:rPr>
        <w:t>Glenn P. Sblendorio</w:t>
      </w:r>
    </w:p>
    <w:p>
      <w:pPr>
        <w:ind w:left="4320"/>
        <w:spacing w:after="0" w:line="215" w:lineRule="auto"/>
        <w:rPr>
          <w:sz w:val="20"/>
          <w:szCs w:val="20"/>
          <w:color w:val="auto"/>
        </w:rPr>
      </w:pPr>
      <w:r>
        <w:rPr>
          <w:rFonts w:ascii="Arial" w:cs="Arial" w:eastAsia="Arial" w:hAnsi="Arial"/>
          <w:sz w:val="12"/>
          <w:szCs w:val="12"/>
          <w:b w:val="1"/>
          <w:bCs w:val="1"/>
          <w:color w:val="auto"/>
        </w:rPr>
        <w:t>Chief Executive Officer</w:t>
      </w:r>
    </w:p>
    <w:p>
      <w:pPr>
        <w:ind w:left="4480"/>
        <w:spacing w:after="0" w:line="216" w:lineRule="auto"/>
        <w:rPr>
          <w:sz w:val="20"/>
          <w:szCs w:val="20"/>
          <w:color w:val="auto"/>
        </w:rPr>
      </w:pPr>
      <w:r>
        <w:rPr>
          <w:rFonts w:ascii="Arial" w:cs="Arial" w:eastAsia="Arial" w:hAnsi="Arial"/>
          <w:sz w:val="12"/>
          <w:szCs w:val="12"/>
          <w:b w:val="1"/>
          <w:bCs w:val="1"/>
          <w:color w:val="auto"/>
        </w:rPr>
        <w:t>IVERIC bio, Inc.</w:t>
      </w:r>
    </w:p>
    <w:p>
      <w:pPr>
        <w:ind w:left="4220"/>
        <w:spacing w:after="0" w:line="216" w:lineRule="auto"/>
        <w:rPr>
          <w:sz w:val="20"/>
          <w:szCs w:val="20"/>
          <w:color w:val="auto"/>
        </w:rPr>
      </w:pPr>
      <w:r>
        <w:rPr>
          <w:rFonts w:ascii="Arial" w:cs="Arial" w:eastAsia="Arial" w:hAnsi="Arial"/>
          <w:sz w:val="12"/>
          <w:szCs w:val="12"/>
          <w:b w:val="1"/>
          <w:bCs w:val="1"/>
          <w:color w:val="auto"/>
        </w:rPr>
        <w:t>Five Penn Plaza, Suite 2372</w:t>
      </w:r>
    </w:p>
    <w:p>
      <w:pPr>
        <w:ind w:left="4380"/>
        <w:spacing w:after="0" w:line="215" w:lineRule="auto"/>
        <w:rPr>
          <w:sz w:val="20"/>
          <w:szCs w:val="20"/>
          <w:color w:val="auto"/>
        </w:rPr>
      </w:pPr>
      <w:r>
        <w:rPr>
          <w:rFonts w:ascii="Arial" w:cs="Arial" w:eastAsia="Arial" w:hAnsi="Arial"/>
          <w:sz w:val="12"/>
          <w:szCs w:val="12"/>
          <w:b w:val="1"/>
          <w:bCs w:val="1"/>
          <w:color w:val="auto"/>
        </w:rPr>
        <w:t>New York, NY 10001</w:t>
      </w:r>
    </w:p>
    <w:p>
      <w:pPr>
        <w:ind w:left="4560"/>
        <w:spacing w:after="0" w:line="216" w:lineRule="auto"/>
        <w:rPr>
          <w:sz w:val="20"/>
          <w:szCs w:val="20"/>
          <w:color w:val="auto"/>
        </w:rPr>
      </w:pPr>
      <w:r>
        <w:rPr>
          <w:rFonts w:ascii="Arial" w:cs="Arial" w:eastAsia="Arial" w:hAnsi="Arial"/>
          <w:sz w:val="12"/>
          <w:szCs w:val="12"/>
          <w:b w:val="1"/>
          <w:bCs w:val="1"/>
          <w:color w:val="auto"/>
        </w:rPr>
        <w:t>(212) 845-8200</w:t>
      </w:r>
    </w:p>
    <w:p>
      <w:pPr>
        <w:ind w:left="2160"/>
        <w:spacing w:after="0"/>
        <w:rPr>
          <w:sz w:val="20"/>
          <w:szCs w:val="20"/>
          <w:color w:val="auto"/>
        </w:rPr>
      </w:pPr>
      <w:r>
        <w:rPr>
          <w:rFonts w:ascii="Arial" w:cs="Arial" w:eastAsia="Arial" w:hAnsi="Arial"/>
          <w:sz w:val="12"/>
          <w:szCs w:val="12"/>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2563495</wp:posOffset>
            </wp:positionH>
            <wp:positionV relativeFrom="paragraph">
              <wp:posOffset>29845</wp:posOffset>
            </wp:positionV>
            <wp:extent cx="113411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76" w:lineRule="exact"/>
        <w:rPr>
          <w:sz w:val="24"/>
          <w:szCs w:val="24"/>
          <w:color w:val="auto"/>
        </w:rPr>
      </w:pPr>
    </w:p>
    <w:tbl>
      <w:tblPr>
        <w:tblLayout w:type="fixed"/>
        <w:tblInd w:w="1460"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4300" w:type="dxa"/>
            <w:vAlign w:val="bottom"/>
          </w:tcPr>
          <w:p>
            <w:pPr>
              <w:ind w:left="440"/>
              <w:spacing w:after="0"/>
              <w:rPr>
                <w:sz w:val="20"/>
                <w:szCs w:val="20"/>
                <w:color w:val="auto"/>
              </w:rPr>
            </w:pPr>
            <w:r>
              <w:rPr>
                <w:rFonts w:ascii="Arial" w:cs="Arial" w:eastAsia="Arial" w:hAnsi="Arial"/>
                <w:sz w:val="12"/>
                <w:szCs w:val="12"/>
                <w:b w:val="1"/>
                <w:bCs w:val="1"/>
                <w:color w:val="auto"/>
              </w:rPr>
              <w:t>Copies to:</w:t>
            </w:r>
          </w:p>
        </w:tc>
      </w:tr>
      <w:tr>
        <w:trPr>
          <w:trHeight w:val="125"/>
        </w:trPr>
        <w:tc>
          <w:tcPr>
            <w:tcW w:w="2760" w:type="dxa"/>
            <w:vAlign w:val="bottom"/>
          </w:tcPr>
          <w:p>
            <w:pPr>
              <w:jc w:val="center"/>
              <w:ind w:right="378"/>
              <w:spacing w:after="0" w:line="125" w:lineRule="exact"/>
              <w:rPr>
                <w:sz w:val="20"/>
                <w:szCs w:val="20"/>
                <w:color w:val="auto"/>
              </w:rPr>
            </w:pPr>
            <w:r>
              <w:rPr>
                <w:rFonts w:ascii="Arial" w:cs="Arial" w:eastAsia="Arial" w:hAnsi="Arial"/>
                <w:sz w:val="12"/>
                <w:szCs w:val="12"/>
                <w:b w:val="1"/>
                <w:bCs w:val="1"/>
                <w:color w:val="auto"/>
                <w:w w:val="88"/>
              </w:rPr>
              <w:t>Brian A. Johnson, Esq.</w:t>
            </w:r>
          </w:p>
        </w:tc>
        <w:tc>
          <w:tcPr>
            <w:tcW w:w="4300" w:type="dxa"/>
            <w:vAlign w:val="bottom"/>
          </w:tcPr>
          <w:p>
            <w:pPr>
              <w:jc w:val="center"/>
              <w:ind w:left="1578"/>
              <w:spacing w:after="0" w:line="125" w:lineRule="exact"/>
              <w:rPr>
                <w:sz w:val="20"/>
                <w:szCs w:val="20"/>
                <w:color w:val="auto"/>
              </w:rPr>
            </w:pPr>
            <w:r>
              <w:rPr>
                <w:rFonts w:ascii="Arial" w:cs="Arial" w:eastAsia="Arial" w:hAnsi="Arial"/>
                <w:sz w:val="12"/>
                <w:szCs w:val="12"/>
                <w:b w:val="1"/>
                <w:bCs w:val="1"/>
                <w:color w:val="auto"/>
                <w:w w:val="91"/>
              </w:rPr>
              <w:t>Todd D.C. Anderman, Esq.</w:t>
            </w:r>
          </w:p>
        </w:tc>
      </w:tr>
      <w:tr>
        <w:trPr>
          <w:trHeight w:val="124"/>
        </w:trPr>
        <w:tc>
          <w:tcPr>
            <w:tcW w:w="2760" w:type="dxa"/>
            <w:vAlign w:val="bottom"/>
          </w:tcPr>
          <w:p>
            <w:pPr>
              <w:jc w:val="center"/>
              <w:ind w:right="398"/>
              <w:spacing w:after="0" w:line="124" w:lineRule="exact"/>
              <w:rPr>
                <w:sz w:val="20"/>
                <w:szCs w:val="20"/>
                <w:color w:val="auto"/>
              </w:rPr>
            </w:pPr>
            <w:r>
              <w:rPr>
                <w:rFonts w:ascii="Arial" w:cs="Arial" w:eastAsia="Arial" w:hAnsi="Arial"/>
                <w:sz w:val="12"/>
                <w:szCs w:val="12"/>
                <w:b w:val="1"/>
                <w:bCs w:val="1"/>
                <w:color w:val="auto"/>
                <w:w w:val="94"/>
              </w:rPr>
              <w:t>Wilmer Cutler Pickering Hale and Dorr LLP</w:t>
            </w:r>
          </w:p>
        </w:tc>
        <w:tc>
          <w:tcPr>
            <w:tcW w:w="4300" w:type="dxa"/>
            <w:vAlign w:val="bottom"/>
          </w:tcPr>
          <w:p>
            <w:pPr>
              <w:jc w:val="center"/>
              <w:ind w:left="1558"/>
              <w:spacing w:after="0" w:line="124" w:lineRule="exact"/>
              <w:rPr>
                <w:sz w:val="20"/>
                <w:szCs w:val="20"/>
                <w:color w:val="auto"/>
              </w:rPr>
            </w:pPr>
            <w:r>
              <w:rPr>
                <w:rFonts w:ascii="Arial" w:cs="Arial" w:eastAsia="Arial" w:hAnsi="Arial"/>
                <w:sz w:val="12"/>
                <w:szCs w:val="12"/>
                <w:b w:val="1"/>
                <w:bCs w:val="1"/>
                <w:color w:val="auto"/>
                <w:w w:val="89"/>
              </w:rPr>
              <w:t>Senior Vice President, General Counsel &amp; Corporate</w:t>
            </w:r>
          </w:p>
        </w:tc>
      </w:tr>
      <w:tr>
        <w:trPr>
          <w:trHeight w:val="124"/>
        </w:trPr>
        <w:tc>
          <w:tcPr>
            <w:tcW w:w="2760" w:type="dxa"/>
            <w:vAlign w:val="bottom"/>
          </w:tcPr>
          <w:p>
            <w:pPr>
              <w:jc w:val="center"/>
              <w:ind w:right="378"/>
              <w:spacing w:after="0" w:line="124" w:lineRule="exact"/>
              <w:rPr>
                <w:sz w:val="20"/>
                <w:szCs w:val="20"/>
                <w:color w:val="auto"/>
              </w:rPr>
            </w:pPr>
            <w:r>
              <w:rPr>
                <w:rFonts w:ascii="Arial" w:cs="Arial" w:eastAsia="Arial" w:hAnsi="Arial"/>
                <w:sz w:val="12"/>
                <w:szCs w:val="12"/>
                <w:b w:val="1"/>
                <w:bCs w:val="1"/>
                <w:color w:val="auto"/>
                <w:w w:val="92"/>
              </w:rPr>
              <w:t>7 World Trade Center</w:t>
            </w:r>
          </w:p>
        </w:tc>
        <w:tc>
          <w:tcPr>
            <w:tcW w:w="4300" w:type="dxa"/>
            <w:vAlign w:val="bottom"/>
          </w:tcPr>
          <w:p>
            <w:pPr>
              <w:jc w:val="center"/>
              <w:ind w:left="1558"/>
              <w:spacing w:after="0" w:line="124" w:lineRule="exact"/>
              <w:rPr>
                <w:sz w:val="20"/>
                <w:szCs w:val="20"/>
                <w:color w:val="auto"/>
              </w:rPr>
            </w:pPr>
            <w:r>
              <w:rPr>
                <w:rFonts w:ascii="Arial" w:cs="Arial" w:eastAsia="Arial" w:hAnsi="Arial"/>
                <w:sz w:val="12"/>
                <w:szCs w:val="12"/>
                <w:b w:val="1"/>
                <w:bCs w:val="1"/>
                <w:color w:val="auto"/>
                <w:w w:val="87"/>
              </w:rPr>
              <w:t>Secretary</w:t>
            </w:r>
          </w:p>
        </w:tc>
      </w:tr>
      <w:tr>
        <w:trPr>
          <w:trHeight w:val="124"/>
        </w:trPr>
        <w:tc>
          <w:tcPr>
            <w:tcW w:w="2760" w:type="dxa"/>
            <w:vAlign w:val="bottom"/>
          </w:tcPr>
          <w:p>
            <w:pPr>
              <w:jc w:val="center"/>
              <w:ind w:right="378"/>
              <w:spacing w:after="0" w:line="124" w:lineRule="exact"/>
              <w:rPr>
                <w:sz w:val="20"/>
                <w:szCs w:val="20"/>
                <w:color w:val="auto"/>
              </w:rPr>
            </w:pPr>
            <w:r>
              <w:rPr>
                <w:rFonts w:ascii="Arial" w:cs="Arial" w:eastAsia="Arial" w:hAnsi="Arial"/>
                <w:sz w:val="12"/>
                <w:szCs w:val="12"/>
                <w:b w:val="1"/>
                <w:bCs w:val="1"/>
                <w:color w:val="auto"/>
                <w:w w:val="88"/>
              </w:rPr>
              <w:t>250 Greenwich Street</w:t>
            </w:r>
          </w:p>
        </w:tc>
        <w:tc>
          <w:tcPr>
            <w:tcW w:w="4300" w:type="dxa"/>
            <w:vAlign w:val="bottom"/>
          </w:tcPr>
          <w:p>
            <w:pPr>
              <w:jc w:val="center"/>
              <w:ind w:left="1558"/>
              <w:spacing w:after="0" w:line="124" w:lineRule="exact"/>
              <w:rPr>
                <w:sz w:val="20"/>
                <w:szCs w:val="20"/>
                <w:color w:val="auto"/>
              </w:rPr>
            </w:pPr>
            <w:r>
              <w:rPr>
                <w:rFonts w:ascii="Arial" w:cs="Arial" w:eastAsia="Arial" w:hAnsi="Arial"/>
                <w:sz w:val="12"/>
                <w:szCs w:val="12"/>
                <w:b w:val="1"/>
                <w:bCs w:val="1"/>
                <w:color w:val="auto"/>
                <w:w w:val="99"/>
              </w:rPr>
              <w:t>IVERIC bio, Inc.</w:t>
            </w:r>
          </w:p>
        </w:tc>
      </w:tr>
      <w:tr>
        <w:trPr>
          <w:trHeight w:val="124"/>
        </w:trPr>
        <w:tc>
          <w:tcPr>
            <w:tcW w:w="2760" w:type="dxa"/>
            <w:vAlign w:val="bottom"/>
          </w:tcPr>
          <w:p>
            <w:pPr>
              <w:jc w:val="center"/>
              <w:ind w:right="378"/>
              <w:spacing w:after="0" w:line="124" w:lineRule="exact"/>
              <w:rPr>
                <w:sz w:val="20"/>
                <w:szCs w:val="20"/>
                <w:color w:val="auto"/>
              </w:rPr>
            </w:pPr>
            <w:r>
              <w:rPr>
                <w:rFonts w:ascii="Arial" w:cs="Arial" w:eastAsia="Arial" w:hAnsi="Arial"/>
                <w:sz w:val="12"/>
                <w:szCs w:val="12"/>
                <w:b w:val="1"/>
                <w:bCs w:val="1"/>
                <w:color w:val="auto"/>
                <w:w w:val="94"/>
              </w:rPr>
              <w:t>New York, NY 10007</w:t>
            </w:r>
          </w:p>
        </w:tc>
        <w:tc>
          <w:tcPr>
            <w:tcW w:w="4300" w:type="dxa"/>
            <w:vAlign w:val="bottom"/>
          </w:tcPr>
          <w:p>
            <w:pPr>
              <w:jc w:val="center"/>
              <w:ind w:left="1558"/>
              <w:spacing w:after="0" w:line="124" w:lineRule="exact"/>
              <w:rPr>
                <w:sz w:val="20"/>
                <w:szCs w:val="20"/>
                <w:color w:val="auto"/>
              </w:rPr>
            </w:pPr>
            <w:r>
              <w:rPr>
                <w:rFonts w:ascii="Arial" w:cs="Arial" w:eastAsia="Arial" w:hAnsi="Arial"/>
                <w:sz w:val="12"/>
                <w:szCs w:val="12"/>
                <w:b w:val="1"/>
                <w:bCs w:val="1"/>
                <w:color w:val="auto"/>
                <w:w w:val="89"/>
              </w:rPr>
              <w:t>Five Penn Plaza, Suite 2372</w:t>
            </w:r>
          </w:p>
        </w:tc>
      </w:tr>
      <w:tr>
        <w:trPr>
          <w:trHeight w:val="124"/>
        </w:trPr>
        <w:tc>
          <w:tcPr>
            <w:tcW w:w="2760" w:type="dxa"/>
            <w:vAlign w:val="bottom"/>
          </w:tcPr>
          <w:p>
            <w:pPr>
              <w:jc w:val="center"/>
              <w:ind w:right="378"/>
              <w:spacing w:after="0" w:line="124" w:lineRule="exact"/>
              <w:rPr>
                <w:sz w:val="20"/>
                <w:szCs w:val="20"/>
                <w:color w:val="auto"/>
              </w:rPr>
            </w:pPr>
            <w:r>
              <w:rPr>
                <w:rFonts w:ascii="Arial" w:cs="Arial" w:eastAsia="Arial" w:hAnsi="Arial"/>
                <w:sz w:val="12"/>
                <w:szCs w:val="12"/>
                <w:b w:val="1"/>
                <w:bCs w:val="1"/>
                <w:color w:val="auto"/>
                <w:w w:val="88"/>
              </w:rPr>
              <w:t>Telephone: (212) 230-8800</w:t>
            </w:r>
          </w:p>
        </w:tc>
        <w:tc>
          <w:tcPr>
            <w:tcW w:w="4300" w:type="dxa"/>
            <w:vAlign w:val="bottom"/>
          </w:tcPr>
          <w:p>
            <w:pPr>
              <w:jc w:val="center"/>
              <w:ind w:left="1558"/>
              <w:spacing w:after="0" w:line="124" w:lineRule="exact"/>
              <w:rPr>
                <w:sz w:val="20"/>
                <w:szCs w:val="20"/>
                <w:color w:val="auto"/>
              </w:rPr>
            </w:pPr>
            <w:r>
              <w:rPr>
                <w:rFonts w:ascii="Arial" w:cs="Arial" w:eastAsia="Arial" w:hAnsi="Arial"/>
                <w:sz w:val="12"/>
                <w:szCs w:val="12"/>
                <w:b w:val="1"/>
                <w:bCs w:val="1"/>
                <w:color w:val="auto"/>
                <w:w w:val="94"/>
              </w:rPr>
              <w:t>New York, NY 10001</w:t>
            </w:r>
          </w:p>
        </w:tc>
      </w:tr>
      <w:tr>
        <w:trPr>
          <w:trHeight w:val="161"/>
        </w:trPr>
        <w:tc>
          <w:tcPr>
            <w:tcW w:w="2760" w:type="dxa"/>
            <w:vAlign w:val="bottom"/>
          </w:tcPr>
          <w:p>
            <w:pPr>
              <w:jc w:val="center"/>
              <w:ind w:right="338"/>
              <w:spacing w:after="0"/>
              <w:rPr>
                <w:sz w:val="20"/>
                <w:szCs w:val="20"/>
                <w:color w:val="auto"/>
              </w:rPr>
            </w:pPr>
            <w:r>
              <w:rPr>
                <w:rFonts w:ascii="Arial" w:cs="Arial" w:eastAsia="Arial" w:hAnsi="Arial"/>
                <w:sz w:val="12"/>
                <w:szCs w:val="12"/>
                <w:b w:val="1"/>
                <w:bCs w:val="1"/>
                <w:color w:val="auto"/>
                <w:w w:val="90"/>
              </w:rPr>
              <w:t>Fax: (212) 230-8888</w:t>
            </w:r>
          </w:p>
        </w:tc>
        <w:tc>
          <w:tcPr>
            <w:tcW w:w="4300" w:type="dxa"/>
            <w:vAlign w:val="bottom"/>
          </w:tcPr>
          <w:p>
            <w:pPr>
              <w:jc w:val="center"/>
              <w:ind w:left="1598"/>
              <w:spacing w:after="0"/>
              <w:rPr>
                <w:sz w:val="20"/>
                <w:szCs w:val="20"/>
                <w:color w:val="auto"/>
              </w:rPr>
            </w:pPr>
            <w:r>
              <w:rPr>
                <w:rFonts w:ascii="Arial" w:cs="Arial" w:eastAsia="Arial" w:hAnsi="Arial"/>
                <w:sz w:val="12"/>
                <w:szCs w:val="12"/>
                <w:b w:val="1"/>
                <w:bCs w:val="1"/>
                <w:color w:val="auto"/>
                <w:w w:val="88"/>
              </w:rPr>
              <w:t>Telephone: (212) 845-8200</w:t>
            </w:r>
          </w:p>
        </w:tc>
      </w:tr>
    </w:tbl>
    <w:p>
      <w:pPr>
        <w:spacing w:after="0" w:line="50" w:lineRule="exact"/>
        <w:rPr>
          <w:sz w:val="24"/>
          <w:szCs w:val="24"/>
          <w:color w:val="auto"/>
        </w:rPr>
      </w:pPr>
    </w:p>
    <w:p>
      <w:pPr>
        <w:ind w:left="780"/>
        <w:spacing w:after="0"/>
        <w:rPr>
          <w:sz w:val="20"/>
          <w:szCs w:val="20"/>
          <w:color w:val="auto"/>
        </w:rPr>
      </w:pPr>
      <w:r>
        <w:rPr>
          <w:rFonts w:ascii="Arial" w:cs="Arial" w:eastAsia="Arial" w:hAnsi="Arial"/>
          <w:sz w:val="12"/>
          <w:szCs w:val="12"/>
          <w:b w:val="1"/>
          <w:bCs w:val="1"/>
          <w:color w:val="auto"/>
        </w:rPr>
        <w:t>Approximate date of commencement of proposed sale to the public</w:t>
      </w:r>
      <w:r>
        <w:rPr>
          <w:rFonts w:ascii="Arial" w:cs="Arial" w:eastAsia="Arial" w:hAnsi="Arial"/>
          <w:sz w:val="12"/>
          <w:szCs w:val="12"/>
          <w:color w:val="auto"/>
        </w:rPr>
        <w:t>: From time to time after this registration statement becomes effective.</w:t>
      </w:r>
    </w:p>
    <w:p>
      <w:pPr>
        <w:spacing w:after="0" w:line="23" w:lineRule="exact"/>
        <w:rPr>
          <w:sz w:val="24"/>
          <w:szCs w:val="24"/>
          <w:color w:val="auto"/>
        </w:rPr>
      </w:pPr>
    </w:p>
    <w:p>
      <w:pPr>
        <w:ind w:left="780"/>
        <w:spacing w:after="0" w:line="138" w:lineRule="exact"/>
        <w:tabs>
          <w:tab w:leader="none" w:pos="8840" w:val="left"/>
        </w:tabs>
        <w:rPr>
          <w:sz w:val="20"/>
          <w:szCs w:val="20"/>
          <w:color w:val="auto"/>
        </w:rPr>
      </w:pPr>
      <w:r>
        <w:rPr>
          <w:rFonts w:ascii="Arial" w:cs="Arial" w:eastAsia="Arial" w:hAnsi="Arial"/>
          <w:sz w:val="12"/>
          <w:szCs w:val="12"/>
          <w:color w:val="auto"/>
        </w:rPr>
        <w:t>If the only securities being registered on this Form are being offered pursuant to dividend or interest reinvestment plans, please check the following box.</w:t>
      </w:r>
      <w:r>
        <w:rPr>
          <w:sz w:val="20"/>
          <w:szCs w:val="20"/>
          <w:color w:val="auto"/>
        </w:rPr>
        <w:tab/>
      </w:r>
      <w:r>
        <w:rPr>
          <w:rFonts w:ascii="MS PGothic" w:cs="MS PGothic" w:eastAsia="MS PGothic" w:hAnsi="MS PGothic"/>
          <w:sz w:val="12"/>
          <w:szCs w:val="12"/>
          <w:color w:val="auto"/>
        </w:rPr>
        <w:t>☐</w:t>
      </w:r>
    </w:p>
    <w:p>
      <w:pPr>
        <w:spacing w:after="0" w:line="37" w:lineRule="exact"/>
        <w:rPr>
          <w:sz w:val="24"/>
          <w:szCs w:val="24"/>
          <w:color w:val="auto"/>
        </w:rPr>
      </w:pPr>
    </w:p>
    <w:p>
      <w:pPr>
        <w:ind w:left="440" w:right="139" w:firstLine="331"/>
        <w:spacing w:after="0" w:line="137"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2"/>
          <w:szCs w:val="12"/>
          <w:color w:val="auto"/>
        </w:rPr>
        <w:t>☒</w:t>
      </w:r>
    </w:p>
    <w:p>
      <w:pPr>
        <w:spacing w:after="0" w:line="1" w:lineRule="exact"/>
        <w:rPr>
          <w:sz w:val="24"/>
          <w:szCs w:val="24"/>
          <w:color w:val="auto"/>
        </w:rPr>
      </w:pPr>
    </w:p>
    <w:p>
      <w:pPr>
        <w:ind w:left="440" w:right="359" w:firstLine="331"/>
        <w:spacing w:after="0" w:line="143" w:lineRule="exact"/>
        <w:rPr>
          <w:sz w:val="20"/>
          <w:szCs w:val="20"/>
          <w:color w:val="auto"/>
        </w:rPr>
      </w:pPr>
      <w:r>
        <w:rPr>
          <w:rFonts w:ascii="Arial" w:cs="Arial" w:eastAsia="Arial" w:hAnsi="Arial"/>
          <w:sz w:val="12"/>
          <w:szCs w:val="1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 w:lineRule="exact"/>
        <w:rPr>
          <w:sz w:val="24"/>
          <w:szCs w:val="24"/>
          <w:color w:val="auto"/>
        </w:rPr>
      </w:pPr>
    </w:p>
    <w:p>
      <w:pPr>
        <w:ind w:left="440" w:right="299" w:firstLine="331"/>
        <w:spacing w:after="0" w:line="143" w:lineRule="exact"/>
        <w:rPr>
          <w:sz w:val="20"/>
          <w:szCs w:val="20"/>
          <w:color w:val="auto"/>
        </w:rPr>
      </w:pPr>
      <w:r>
        <w:rPr>
          <w:rFonts w:ascii="Arial" w:cs="Arial" w:eastAsia="Arial" w:hAnsi="Arial"/>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ind w:left="440" w:right="279" w:firstLine="331"/>
        <w:spacing w:after="0" w:line="137" w:lineRule="exact"/>
        <w:rPr>
          <w:sz w:val="20"/>
          <w:szCs w:val="20"/>
          <w:color w:val="auto"/>
        </w:rPr>
      </w:pPr>
      <w:r>
        <w:rPr>
          <w:rFonts w:ascii="Arial" w:cs="Arial" w:eastAsia="Arial" w:hAnsi="Arial"/>
          <w:sz w:val="12"/>
          <w:szCs w:val="12"/>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2"/>
          <w:szCs w:val="12"/>
          <w:color w:val="auto"/>
        </w:rPr>
        <w:t>☒</w:t>
      </w:r>
    </w:p>
    <w:p>
      <w:pPr>
        <w:spacing w:after="0" w:line="1" w:lineRule="exact"/>
        <w:rPr>
          <w:sz w:val="24"/>
          <w:szCs w:val="24"/>
          <w:color w:val="auto"/>
        </w:rPr>
      </w:pPr>
    </w:p>
    <w:p>
      <w:pPr>
        <w:ind w:left="440" w:right="279" w:firstLine="331"/>
        <w:spacing w:after="0" w:line="143" w:lineRule="exact"/>
        <w:rPr>
          <w:sz w:val="20"/>
          <w:szCs w:val="20"/>
          <w:color w:val="auto"/>
        </w:rPr>
      </w:pPr>
      <w:r>
        <w:rPr>
          <w:rFonts w:ascii="Arial" w:cs="Arial" w:eastAsia="Arial" w:hAnsi="Arial"/>
          <w:sz w:val="12"/>
          <w:szCs w:val="12"/>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2"/>
          <w:szCs w:val="12"/>
          <w:color w:val="auto"/>
        </w:rPr>
        <w:t>☐</w:t>
      </w:r>
    </w:p>
    <w:p>
      <w:pPr>
        <w:spacing w:after="0" w:line="1" w:lineRule="exact"/>
        <w:rPr>
          <w:sz w:val="24"/>
          <w:szCs w:val="24"/>
          <w:color w:val="auto"/>
        </w:rPr>
      </w:pPr>
    </w:p>
    <w:p>
      <w:pPr>
        <w:ind w:left="440" w:right="219" w:firstLine="331"/>
        <w:spacing w:after="0" w:line="229"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1100" w:type="dxa"/>
        <w:tblCellMar>
          <w:top w:w="0" w:type="dxa"/>
          <w:left w:w="0" w:type="dxa"/>
          <w:bottom w:w="0" w:type="dxa"/>
          <w:right w:w="0" w:type="dxa"/>
        </w:tblCellMar>
      </w:tblPr>
      <w:tr>
        <w:trPr>
          <w:trHeight w:val="126"/>
        </w:trPr>
        <w:tc>
          <w:tcPr>
            <w:tcW w:w="1500" w:type="dxa"/>
            <w:vAlign w:val="bottom"/>
          </w:tcPr>
          <w:p>
            <w:pPr>
              <w:spacing w:after="0" w:line="126" w:lineRule="exact"/>
              <w:rPr>
                <w:sz w:val="20"/>
                <w:szCs w:val="20"/>
                <w:color w:val="auto"/>
              </w:rPr>
            </w:pPr>
            <w:r>
              <w:rPr>
                <w:rFonts w:ascii="Arial" w:cs="Arial" w:eastAsia="Arial" w:hAnsi="Arial"/>
                <w:sz w:val="12"/>
                <w:szCs w:val="12"/>
                <w:color w:val="auto"/>
              </w:rPr>
              <w:t>Large accelerated filer</w:t>
            </w:r>
          </w:p>
        </w:tc>
        <w:tc>
          <w:tcPr>
            <w:tcW w:w="1660" w:type="dxa"/>
            <w:vAlign w:val="bottom"/>
          </w:tcPr>
          <w:p>
            <w:pPr>
              <w:ind w:left="320"/>
              <w:spacing w:after="0" w:line="121" w:lineRule="exact"/>
              <w:rPr>
                <w:sz w:val="20"/>
                <w:szCs w:val="20"/>
                <w:color w:val="auto"/>
              </w:rPr>
            </w:pPr>
            <w:r>
              <w:rPr>
                <w:rFonts w:ascii="MS PGothic" w:cs="MS PGothic" w:eastAsia="MS PGothic" w:hAnsi="MS PGothic"/>
                <w:sz w:val="12"/>
                <w:szCs w:val="12"/>
                <w:color w:val="auto"/>
              </w:rPr>
              <w:t>☐</w:t>
            </w:r>
          </w:p>
        </w:tc>
        <w:tc>
          <w:tcPr>
            <w:tcW w:w="2380" w:type="dxa"/>
            <w:vAlign w:val="bottom"/>
          </w:tcPr>
          <w:p>
            <w:pPr>
              <w:ind w:left="760"/>
              <w:spacing w:after="0" w:line="126" w:lineRule="exact"/>
              <w:rPr>
                <w:sz w:val="20"/>
                <w:szCs w:val="20"/>
                <w:color w:val="auto"/>
              </w:rPr>
            </w:pPr>
            <w:r>
              <w:rPr>
                <w:rFonts w:ascii="Arial" w:cs="Arial" w:eastAsia="Arial" w:hAnsi="Arial"/>
                <w:sz w:val="12"/>
                <w:szCs w:val="12"/>
                <w:color w:val="auto"/>
              </w:rPr>
              <w:t>Accelerated filer</w:t>
            </w:r>
          </w:p>
        </w:tc>
        <w:tc>
          <w:tcPr>
            <w:tcW w:w="300" w:type="dxa"/>
            <w:vAlign w:val="bottom"/>
          </w:tcPr>
          <w:p>
            <w:pPr>
              <w:ind w:left="2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24"/>
        </w:trPr>
        <w:tc>
          <w:tcPr>
            <w:tcW w:w="1500" w:type="dxa"/>
            <w:vAlign w:val="bottom"/>
          </w:tcPr>
          <w:p>
            <w:pPr>
              <w:spacing w:after="0" w:line="124" w:lineRule="exact"/>
              <w:rPr>
                <w:sz w:val="20"/>
                <w:szCs w:val="20"/>
                <w:color w:val="auto"/>
              </w:rPr>
            </w:pPr>
            <w:r>
              <w:rPr>
                <w:rFonts w:ascii="Arial" w:cs="Arial" w:eastAsia="Arial" w:hAnsi="Arial"/>
                <w:sz w:val="12"/>
                <w:szCs w:val="12"/>
                <w:color w:val="auto"/>
              </w:rPr>
              <w:t>Non-accelerated filer</w:t>
            </w:r>
          </w:p>
        </w:tc>
        <w:tc>
          <w:tcPr>
            <w:tcW w:w="1660" w:type="dxa"/>
            <w:vAlign w:val="bottom"/>
          </w:tcPr>
          <w:p>
            <w:pPr>
              <w:ind w:left="320"/>
              <w:spacing w:after="0" w:line="121" w:lineRule="exact"/>
              <w:rPr>
                <w:sz w:val="20"/>
                <w:szCs w:val="20"/>
                <w:color w:val="auto"/>
              </w:rPr>
            </w:pPr>
            <w:r>
              <w:rPr>
                <w:rFonts w:ascii="MS PGothic" w:cs="MS PGothic" w:eastAsia="MS PGothic" w:hAnsi="MS PGothic"/>
                <w:sz w:val="12"/>
                <w:szCs w:val="12"/>
                <w:color w:val="auto"/>
              </w:rPr>
              <w:t>☒</w:t>
            </w:r>
          </w:p>
        </w:tc>
        <w:tc>
          <w:tcPr>
            <w:tcW w:w="2380" w:type="dxa"/>
            <w:vAlign w:val="bottom"/>
          </w:tcPr>
          <w:p>
            <w:pPr>
              <w:ind w:left="760"/>
              <w:spacing w:after="0" w:line="124" w:lineRule="exact"/>
              <w:rPr>
                <w:sz w:val="20"/>
                <w:szCs w:val="20"/>
                <w:color w:val="auto"/>
              </w:rPr>
            </w:pPr>
            <w:r>
              <w:rPr>
                <w:rFonts w:ascii="Arial" w:cs="Arial" w:eastAsia="Arial" w:hAnsi="Arial"/>
                <w:sz w:val="12"/>
                <w:szCs w:val="12"/>
                <w:color w:val="auto"/>
              </w:rPr>
              <w:t>Smaller reporting company</w:t>
            </w:r>
          </w:p>
        </w:tc>
        <w:tc>
          <w:tcPr>
            <w:tcW w:w="300" w:type="dxa"/>
            <w:vAlign w:val="bottom"/>
          </w:tcPr>
          <w:p>
            <w:pPr>
              <w:ind w:left="2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3"/>
        </w:trPr>
        <w:tc>
          <w:tcPr>
            <w:tcW w:w="3160" w:type="dxa"/>
            <w:vAlign w:val="bottom"/>
            <w:gridSpan w:val="2"/>
          </w:tcPr>
          <w:p>
            <w:pPr>
              <w:spacing w:after="0"/>
              <w:rPr>
                <w:sz w:val="20"/>
                <w:szCs w:val="20"/>
                <w:color w:val="auto"/>
              </w:rPr>
            </w:pPr>
            <w:r>
              <w:rPr>
                <w:rFonts w:ascii="Arial" w:cs="Arial" w:eastAsia="Arial" w:hAnsi="Arial"/>
                <w:sz w:val="12"/>
                <w:szCs w:val="12"/>
                <w:color w:val="auto"/>
              </w:rPr>
              <w:t>(Do not check if a smaller reporting company)</w:t>
            </w:r>
          </w:p>
        </w:tc>
        <w:tc>
          <w:tcPr>
            <w:tcW w:w="2380" w:type="dxa"/>
            <w:vAlign w:val="bottom"/>
          </w:tcPr>
          <w:p>
            <w:pPr>
              <w:ind w:left="760"/>
              <w:spacing w:after="0"/>
              <w:rPr>
                <w:sz w:val="20"/>
                <w:szCs w:val="20"/>
                <w:color w:val="auto"/>
              </w:rPr>
            </w:pPr>
            <w:r>
              <w:rPr>
                <w:rFonts w:ascii="Arial" w:cs="Arial" w:eastAsia="Arial" w:hAnsi="Arial"/>
                <w:sz w:val="12"/>
                <w:szCs w:val="12"/>
                <w:color w:val="auto"/>
              </w:rPr>
              <w:t>Emerging growth company</w:t>
            </w:r>
          </w:p>
        </w:tc>
        <w:tc>
          <w:tcPr>
            <w:tcW w:w="300" w:type="dxa"/>
            <w:vAlign w:val="bottom"/>
          </w:tcPr>
          <w:p>
            <w:pPr>
              <w:ind w:left="20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34" w:lineRule="exact"/>
        <w:rPr>
          <w:sz w:val="24"/>
          <w:szCs w:val="24"/>
          <w:color w:val="auto"/>
        </w:rPr>
      </w:pPr>
    </w:p>
    <w:p>
      <w:pPr>
        <w:ind w:left="440" w:right="99" w:firstLine="331"/>
        <w:spacing w:after="0" w:line="141"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1" w:lineRule="exact"/>
        <w:rPr>
          <w:sz w:val="24"/>
          <w:szCs w:val="24"/>
          <w:color w:val="auto"/>
        </w:rPr>
      </w:pPr>
    </w:p>
    <w:p>
      <w:pPr>
        <w:ind w:left="3780"/>
        <w:spacing w:after="0"/>
        <w:rPr>
          <w:sz w:val="20"/>
          <w:szCs w:val="20"/>
          <w:color w:val="auto"/>
        </w:rPr>
      </w:pPr>
      <w:r>
        <w:rPr>
          <w:rFonts w:ascii="Arial" w:cs="Arial" w:eastAsia="Arial" w:hAnsi="Arial"/>
          <w:sz w:val="12"/>
          <w:szCs w:val="12"/>
          <w:b w:val="1"/>
          <w:bCs w:val="1"/>
          <w:color w:val="auto"/>
        </w:rPr>
        <w:t>CALCULATION OF REGISTRATION FEE</w:t>
      </w:r>
    </w:p>
    <w:p>
      <w:pPr>
        <w:spacing w:after="0" w:line="27" w:lineRule="exact"/>
        <w:rPr>
          <w:sz w:val="24"/>
          <w:szCs w:val="24"/>
          <w:color w:val="auto"/>
        </w:rPr>
      </w:pPr>
    </w:p>
    <w:tbl>
      <w:tblPr>
        <w:tblLayout w:type="fixed"/>
        <w:tblInd w:w="460" w:type="dxa"/>
        <w:tblCellMar>
          <w:top w:w="0" w:type="dxa"/>
          <w:left w:w="0" w:type="dxa"/>
          <w:bottom w:w="0" w:type="dxa"/>
          <w:right w:w="0" w:type="dxa"/>
        </w:tblCellMar>
      </w:tblPr>
      <w:tr>
        <w:trPr>
          <w:trHeight w:val="40"/>
        </w:trPr>
        <w:tc>
          <w:tcPr>
            <w:tcW w:w="4380" w:type="dxa"/>
            <w:vAlign w:val="bottom"/>
            <w:tcBorders>
              <w:top w:val="single" w:sz="8" w:color="auto"/>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1300" w:type="dxa"/>
            <w:vAlign w:val="bottom"/>
            <w:tcBorders>
              <w:top w:val="single" w:sz="8" w:color="auto"/>
              <w:bottom w:val="single" w:sz="8" w:color="auto"/>
            </w:tcBorders>
          </w:tcPr>
          <w:p>
            <w:pPr>
              <w:spacing w:after="0"/>
              <w:rPr>
                <w:sz w:val="3"/>
                <w:szCs w:val="3"/>
                <w:color w:val="auto"/>
              </w:rPr>
            </w:pPr>
          </w:p>
        </w:tc>
        <w:tc>
          <w:tcPr>
            <w:tcW w:w="1280" w:type="dxa"/>
            <w:vAlign w:val="bottom"/>
            <w:tcBorders>
              <w:top w:val="single" w:sz="8" w:color="auto"/>
              <w:bottom w:val="single" w:sz="8" w:color="auto"/>
            </w:tcBorders>
          </w:tcPr>
          <w:p>
            <w:pPr>
              <w:spacing w:after="0"/>
              <w:rPr>
                <w:sz w:val="3"/>
                <w:szCs w:val="3"/>
                <w:color w:val="auto"/>
              </w:rPr>
            </w:pPr>
          </w:p>
        </w:tc>
        <w:tc>
          <w:tcPr>
            <w:tcW w:w="1060" w:type="dxa"/>
            <w:vAlign w:val="bottom"/>
            <w:tcBorders>
              <w:top w:val="single" w:sz="8" w:color="auto"/>
              <w:bottom w:val="single" w:sz="8" w:color="auto"/>
            </w:tcBorders>
          </w:tcPr>
          <w:p>
            <w:pPr>
              <w:spacing w:after="0"/>
              <w:rPr>
                <w:sz w:val="3"/>
                <w:szCs w:val="3"/>
                <w:color w:val="auto"/>
              </w:rPr>
            </w:pPr>
          </w:p>
        </w:tc>
      </w:tr>
      <w:tr>
        <w:trPr>
          <w:trHeight w:val="110"/>
        </w:trPr>
        <w:tc>
          <w:tcPr>
            <w:tcW w:w="438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130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4"/>
              </w:rPr>
              <w:t>Proposed Maximum</w:t>
            </w:r>
          </w:p>
        </w:tc>
        <w:tc>
          <w:tcPr>
            <w:tcW w:w="128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2"/>
              </w:rPr>
              <w:t>Proposed Maximum</w:t>
            </w:r>
          </w:p>
        </w:tc>
        <w:tc>
          <w:tcPr>
            <w:tcW w:w="1060" w:type="dxa"/>
            <w:vAlign w:val="bottom"/>
          </w:tcPr>
          <w:p>
            <w:pPr>
              <w:spacing w:after="0"/>
              <w:rPr>
                <w:sz w:val="9"/>
                <w:szCs w:val="9"/>
                <w:color w:val="auto"/>
              </w:rPr>
            </w:pPr>
          </w:p>
        </w:tc>
      </w:tr>
      <w:tr>
        <w:trPr>
          <w:trHeight w:val="133"/>
        </w:trPr>
        <w:tc>
          <w:tcPr>
            <w:tcW w:w="4380" w:type="dxa"/>
            <w:vAlign w:val="bottom"/>
            <w:tcBorders>
              <w:right w:val="single" w:sz="8" w:color="auto"/>
            </w:tcBorders>
          </w:tcPr>
          <w:p>
            <w:pPr>
              <w:jc w:val="center"/>
              <w:ind w:right="98"/>
              <w:spacing w:after="0" w:line="133" w:lineRule="exact"/>
              <w:rPr>
                <w:sz w:val="20"/>
                <w:szCs w:val="20"/>
                <w:color w:val="auto"/>
              </w:rPr>
            </w:pPr>
            <w:r>
              <w:rPr>
                <w:rFonts w:ascii="Arial" w:cs="Arial" w:eastAsia="Arial" w:hAnsi="Arial"/>
                <w:sz w:val="13"/>
                <w:szCs w:val="13"/>
                <w:b w:val="1"/>
                <w:bCs w:val="1"/>
                <w:color w:val="auto"/>
                <w:w w:val="83"/>
              </w:rPr>
              <w:t>Title of Each Class of</w:t>
            </w:r>
          </w:p>
        </w:tc>
        <w:tc>
          <w:tcPr>
            <w:tcW w:w="92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b w:val="1"/>
                <w:bCs w:val="1"/>
                <w:color w:val="auto"/>
                <w:w w:val="83"/>
              </w:rPr>
              <w:t>Amount to be</w:t>
            </w:r>
          </w:p>
        </w:tc>
        <w:tc>
          <w:tcPr>
            <w:tcW w:w="130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b w:val="1"/>
                <w:bCs w:val="1"/>
                <w:color w:val="auto"/>
                <w:w w:val="88"/>
              </w:rPr>
              <w:t>Offering Price</w:t>
            </w:r>
          </w:p>
        </w:tc>
        <w:tc>
          <w:tcPr>
            <w:tcW w:w="128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b w:val="1"/>
                <w:bCs w:val="1"/>
                <w:color w:val="auto"/>
                <w:w w:val="86"/>
              </w:rPr>
              <w:t>Aggregate Offering</w:t>
            </w:r>
          </w:p>
        </w:tc>
        <w:tc>
          <w:tcPr>
            <w:tcW w:w="106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86"/>
              </w:rPr>
              <w:t>Amount of</w:t>
            </w:r>
          </w:p>
        </w:tc>
      </w:tr>
      <w:tr>
        <w:trPr>
          <w:trHeight w:val="156"/>
        </w:trPr>
        <w:tc>
          <w:tcPr>
            <w:tcW w:w="4380" w:type="dxa"/>
            <w:vAlign w:val="bottom"/>
            <w:tcBorders>
              <w:bottom w:val="single" w:sz="8" w:color="auto"/>
              <w:right w:val="single" w:sz="8" w:color="auto"/>
            </w:tcBorders>
          </w:tcPr>
          <w:p>
            <w:pPr>
              <w:jc w:val="center"/>
              <w:ind w:right="58"/>
              <w:spacing w:after="0"/>
              <w:rPr>
                <w:sz w:val="20"/>
                <w:szCs w:val="20"/>
                <w:color w:val="auto"/>
              </w:rPr>
            </w:pPr>
            <w:r>
              <w:rPr>
                <w:rFonts w:ascii="Arial" w:cs="Arial" w:eastAsia="Arial" w:hAnsi="Arial"/>
                <w:sz w:val="13"/>
                <w:szCs w:val="13"/>
                <w:b w:val="1"/>
                <w:bCs w:val="1"/>
                <w:color w:val="auto"/>
                <w:w w:val="82"/>
              </w:rPr>
              <w:t>Securities to be Registered</w:t>
            </w:r>
          </w:p>
        </w:tc>
        <w:tc>
          <w:tcPr>
            <w:tcW w:w="9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3"/>
                <w:szCs w:val="13"/>
                <w:b w:val="1"/>
                <w:bCs w:val="1"/>
                <w:color w:val="auto"/>
                <w:w w:val="79"/>
              </w:rPr>
              <w:t>Registered</w:t>
            </w:r>
            <w:r>
              <w:rPr>
                <w:rFonts w:ascii="Arial" w:cs="Arial" w:eastAsia="Arial" w:hAnsi="Arial"/>
                <w:sz w:val="16"/>
                <w:szCs w:val="16"/>
                <w:b w:val="1"/>
                <w:bCs w:val="1"/>
                <w:color w:val="auto"/>
                <w:w w:val="79"/>
                <w:vertAlign w:val="superscript"/>
              </w:rPr>
              <w:t>(1)</w:t>
            </w:r>
          </w:p>
        </w:tc>
        <w:tc>
          <w:tcPr>
            <w:tcW w:w="130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3"/>
                <w:szCs w:val="13"/>
                <w:b w:val="1"/>
                <w:bCs w:val="1"/>
                <w:color w:val="auto"/>
                <w:w w:val="83"/>
              </w:rPr>
              <w:t>per Unit</w:t>
            </w:r>
            <w:r>
              <w:rPr>
                <w:rFonts w:ascii="Arial" w:cs="Arial" w:eastAsia="Arial" w:hAnsi="Arial"/>
                <w:sz w:val="16"/>
                <w:szCs w:val="16"/>
                <w:b w:val="1"/>
                <w:bCs w:val="1"/>
                <w:color w:val="auto"/>
                <w:w w:val="83"/>
                <w:vertAlign w:val="superscript"/>
              </w:rPr>
              <w:t>(1)</w:t>
            </w:r>
          </w:p>
        </w:tc>
        <w:tc>
          <w:tcPr>
            <w:tcW w:w="12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3"/>
                <w:szCs w:val="13"/>
                <w:b w:val="1"/>
                <w:bCs w:val="1"/>
                <w:color w:val="auto"/>
                <w:w w:val="80"/>
              </w:rPr>
              <w:t>Price</w:t>
            </w:r>
            <w:r>
              <w:rPr>
                <w:rFonts w:ascii="Arial" w:cs="Arial" w:eastAsia="Arial" w:hAnsi="Arial"/>
                <w:sz w:val="16"/>
                <w:szCs w:val="16"/>
                <w:b w:val="1"/>
                <w:bCs w:val="1"/>
                <w:color w:val="auto"/>
                <w:w w:val="80"/>
                <w:vertAlign w:val="superscript"/>
              </w:rPr>
              <w:t>(1)</w:t>
            </w:r>
          </w:p>
        </w:tc>
        <w:tc>
          <w:tcPr>
            <w:tcW w:w="1060" w:type="dxa"/>
            <w:vAlign w:val="bottom"/>
            <w:tcBorders>
              <w:bottom w:val="single" w:sz="8" w:color="auto"/>
            </w:tcBorders>
          </w:tcPr>
          <w:p>
            <w:pPr>
              <w:jc w:val="center"/>
              <w:ind w:left="16"/>
              <w:spacing w:after="0" w:line="156" w:lineRule="exact"/>
              <w:rPr>
                <w:sz w:val="20"/>
                <w:szCs w:val="20"/>
                <w:color w:val="auto"/>
              </w:rPr>
            </w:pPr>
            <w:r>
              <w:rPr>
                <w:rFonts w:ascii="Arial" w:cs="Arial" w:eastAsia="Arial" w:hAnsi="Arial"/>
                <w:sz w:val="13"/>
                <w:szCs w:val="13"/>
                <w:b w:val="1"/>
                <w:bCs w:val="1"/>
                <w:color w:val="auto"/>
                <w:w w:val="81"/>
              </w:rPr>
              <w:t>Registration Fee</w:t>
            </w:r>
            <w:r>
              <w:rPr>
                <w:rFonts w:ascii="Arial" w:cs="Arial" w:eastAsia="Arial" w:hAnsi="Arial"/>
                <w:sz w:val="16"/>
                <w:szCs w:val="16"/>
                <w:b w:val="1"/>
                <w:bCs w:val="1"/>
                <w:color w:val="auto"/>
                <w:w w:val="81"/>
                <w:vertAlign w:val="superscript"/>
              </w:rPr>
              <w:t>(1)</w:t>
            </w:r>
          </w:p>
        </w:tc>
      </w:tr>
      <w:tr>
        <w:trPr>
          <w:trHeight w:val="172"/>
        </w:trPr>
        <w:tc>
          <w:tcPr>
            <w:tcW w:w="4380" w:type="dxa"/>
            <w:vAlign w:val="bottom"/>
            <w:tcBorders>
              <w:bottom w:val="single" w:sz="8" w:color="auto"/>
              <w:right w:val="single" w:sz="8" w:color="auto"/>
            </w:tcBorders>
            <w:shd w:val="clear" w:color="auto" w:fill="CCEEFF"/>
          </w:tcPr>
          <w:p>
            <w:pPr>
              <w:jc w:val="center"/>
              <w:ind w:right="78"/>
              <w:spacing w:after="0"/>
              <w:rPr>
                <w:sz w:val="20"/>
                <w:szCs w:val="20"/>
                <w:color w:val="auto"/>
              </w:rPr>
            </w:pPr>
            <w:r>
              <w:rPr>
                <w:rFonts w:ascii="Arial" w:cs="Arial" w:eastAsia="Arial" w:hAnsi="Arial"/>
                <w:sz w:val="12"/>
                <w:szCs w:val="12"/>
                <w:color w:val="auto"/>
                <w:w w:val="98"/>
              </w:rPr>
              <w:t>Debt Securities</w:t>
            </w:r>
          </w:p>
        </w:tc>
        <w:tc>
          <w:tcPr>
            <w:tcW w:w="920" w:type="dxa"/>
            <w:vAlign w:val="bottom"/>
            <w:tcBorders>
              <w:bottom w:val="single" w:sz="8" w:color="auto"/>
              <w:right w:val="single" w:sz="8" w:color="auto"/>
            </w:tcBorders>
            <w:shd w:val="clear" w:color="auto" w:fill="CCEEFF"/>
          </w:tcPr>
          <w:p>
            <w:pPr>
              <w:spacing w:after="0"/>
              <w:rPr>
                <w:sz w:val="14"/>
                <w:szCs w:val="14"/>
                <w:color w:val="auto"/>
              </w:rPr>
            </w:pPr>
          </w:p>
        </w:tc>
        <w:tc>
          <w:tcPr>
            <w:tcW w:w="1300" w:type="dxa"/>
            <w:vAlign w:val="bottom"/>
            <w:tcBorders>
              <w:bottom w:val="single" w:sz="8" w:color="auto"/>
              <w:right w:val="single" w:sz="8" w:color="auto"/>
            </w:tcBorders>
            <w:shd w:val="clear" w:color="auto" w:fill="CCEEFF"/>
          </w:tcPr>
          <w:p>
            <w:pPr>
              <w:spacing w:after="0"/>
              <w:rPr>
                <w:sz w:val="14"/>
                <w:szCs w:val="14"/>
                <w:color w:val="auto"/>
              </w:rPr>
            </w:pPr>
          </w:p>
        </w:tc>
        <w:tc>
          <w:tcPr>
            <w:tcW w:w="1280" w:type="dxa"/>
            <w:vAlign w:val="bottom"/>
            <w:tcBorders>
              <w:bottom w:val="single" w:sz="8" w:color="auto"/>
              <w:right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r>
      <w:tr>
        <w:trPr>
          <w:trHeight w:val="178"/>
        </w:trPr>
        <w:tc>
          <w:tcPr>
            <w:tcW w:w="4380" w:type="dxa"/>
            <w:vAlign w:val="bottom"/>
            <w:tcBorders>
              <w:bottom w:val="single" w:sz="8" w:color="auto"/>
              <w:right w:val="single" w:sz="8" w:color="auto"/>
            </w:tcBorders>
          </w:tcPr>
          <w:p>
            <w:pPr>
              <w:jc w:val="center"/>
              <w:ind w:right="78"/>
              <w:spacing w:after="0"/>
              <w:rPr>
                <w:sz w:val="20"/>
                <w:szCs w:val="20"/>
                <w:color w:val="auto"/>
              </w:rPr>
            </w:pPr>
            <w:r>
              <w:rPr>
                <w:rFonts w:ascii="Arial" w:cs="Arial" w:eastAsia="Arial" w:hAnsi="Arial"/>
                <w:sz w:val="12"/>
                <w:szCs w:val="12"/>
                <w:color w:val="auto"/>
                <w:w w:val="96"/>
              </w:rPr>
              <w:t>Common Stock, par value $0.001 per share</w:t>
            </w:r>
          </w:p>
        </w:tc>
        <w:tc>
          <w:tcPr>
            <w:tcW w:w="920" w:type="dxa"/>
            <w:vAlign w:val="bottom"/>
            <w:tcBorders>
              <w:bottom w:val="single" w:sz="8" w:color="auto"/>
              <w:right w:val="single" w:sz="8" w:color="auto"/>
            </w:tcBorders>
          </w:tcPr>
          <w:p>
            <w:pPr>
              <w:spacing w:after="0"/>
              <w:rPr>
                <w:sz w:val="15"/>
                <w:szCs w:val="15"/>
                <w:color w:val="auto"/>
              </w:rPr>
            </w:pPr>
          </w:p>
        </w:tc>
        <w:tc>
          <w:tcPr>
            <w:tcW w:w="1300" w:type="dxa"/>
            <w:vAlign w:val="bottom"/>
            <w:tcBorders>
              <w:bottom w:val="single" w:sz="8" w:color="auto"/>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78"/>
        </w:trPr>
        <w:tc>
          <w:tcPr>
            <w:tcW w:w="4380" w:type="dxa"/>
            <w:vAlign w:val="bottom"/>
            <w:tcBorders>
              <w:bottom w:val="single" w:sz="8" w:color="auto"/>
              <w:right w:val="single" w:sz="8" w:color="auto"/>
            </w:tcBorders>
            <w:shd w:val="clear" w:color="auto" w:fill="CCEEFF"/>
          </w:tcPr>
          <w:p>
            <w:pPr>
              <w:jc w:val="center"/>
              <w:ind w:right="58"/>
              <w:spacing w:after="0"/>
              <w:rPr>
                <w:sz w:val="20"/>
                <w:szCs w:val="20"/>
                <w:color w:val="auto"/>
              </w:rPr>
            </w:pPr>
            <w:r>
              <w:rPr>
                <w:rFonts w:ascii="Arial" w:cs="Arial" w:eastAsia="Arial" w:hAnsi="Arial"/>
                <w:sz w:val="12"/>
                <w:szCs w:val="12"/>
                <w:color w:val="auto"/>
                <w:w w:val="96"/>
              </w:rPr>
              <w:t>Preferred Stock, par value $0.001 per share</w:t>
            </w:r>
          </w:p>
        </w:tc>
        <w:tc>
          <w:tcPr>
            <w:tcW w:w="920" w:type="dxa"/>
            <w:vAlign w:val="bottom"/>
            <w:tcBorders>
              <w:bottom w:val="single" w:sz="8" w:color="auto"/>
              <w:right w:val="single" w:sz="8" w:color="auto"/>
            </w:tcBorders>
            <w:shd w:val="clear" w:color="auto" w:fill="CCEEFF"/>
          </w:tcPr>
          <w:p>
            <w:pPr>
              <w:spacing w:after="0"/>
              <w:rPr>
                <w:sz w:val="15"/>
                <w:szCs w:val="15"/>
                <w:color w:val="auto"/>
              </w:rPr>
            </w:pPr>
          </w:p>
        </w:tc>
        <w:tc>
          <w:tcPr>
            <w:tcW w:w="1300" w:type="dxa"/>
            <w:vAlign w:val="bottom"/>
            <w:tcBorders>
              <w:bottom w:val="single" w:sz="8" w:color="auto"/>
              <w:right w:val="single" w:sz="8" w:color="auto"/>
            </w:tcBorders>
            <w:shd w:val="clear" w:color="auto" w:fill="CCEEFF"/>
          </w:tcPr>
          <w:p>
            <w:pPr>
              <w:spacing w:after="0"/>
              <w:rPr>
                <w:sz w:val="15"/>
                <w:szCs w:val="15"/>
                <w:color w:val="auto"/>
              </w:rPr>
            </w:pPr>
          </w:p>
        </w:tc>
        <w:tc>
          <w:tcPr>
            <w:tcW w:w="1280" w:type="dxa"/>
            <w:vAlign w:val="bottom"/>
            <w:tcBorders>
              <w:bottom w:val="single" w:sz="8" w:color="auto"/>
              <w:right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r>
      <w:tr>
        <w:trPr>
          <w:trHeight w:val="178"/>
        </w:trPr>
        <w:tc>
          <w:tcPr>
            <w:tcW w:w="4380" w:type="dxa"/>
            <w:vAlign w:val="bottom"/>
            <w:tcBorders>
              <w:bottom w:val="single" w:sz="8" w:color="auto"/>
              <w:right w:val="single" w:sz="8" w:color="auto"/>
            </w:tcBorders>
          </w:tcPr>
          <w:p>
            <w:pPr>
              <w:jc w:val="center"/>
              <w:ind w:right="58"/>
              <w:spacing w:after="0"/>
              <w:rPr>
                <w:sz w:val="20"/>
                <w:szCs w:val="20"/>
                <w:color w:val="auto"/>
              </w:rPr>
            </w:pPr>
            <w:r>
              <w:rPr>
                <w:rFonts w:ascii="Arial" w:cs="Arial" w:eastAsia="Arial" w:hAnsi="Arial"/>
                <w:sz w:val="12"/>
                <w:szCs w:val="12"/>
                <w:color w:val="auto"/>
                <w:w w:val="94"/>
              </w:rPr>
              <w:t>Warrants</w:t>
            </w:r>
          </w:p>
        </w:tc>
        <w:tc>
          <w:tcPr>
            <w:tcW w:w="920" w:type="dxa"/>
            <w:vAlign w:val="bottom"/>
            <w:tcBorders>
              <w:bottom w:val="single" w:sz="8" w:color="auto"/>
              <w:right w:val="single" w:sz="8" w:color="auto"/>
            </w:tcBorders>
          </w:tcPr>
          <w:p>
            <w:pPr>
              <w:spacing w:after="0"/>
              <w:rPr>
                <w:sz w:val="15"/>
                <w:szCs w:val="15"/>
                <w:color w:val="auto"/>
              </w:rPr>
            </w:pPr>
          </w:p>
        </w:tc>
        <w:tc>
          <w:tcPr>
            <w:tcW w:w="1300" w:type="dxa"/>
            <w:vAlign w:val="bottom"/>
            <w:tcBorders>
              <w:bottom w:val="single" w:sz="8" w:color="auto"/>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209"/>
        </w:trPr>
        <w:tc>
          <w:tcPr>
            <w:tcW w:w="4380" w:type="dxa"/>
            <w:vAlign w:val="bottom"/>
            <w:tcBorders>
              <w:bottom w:val="single" w:sz="8" w:color="auto"/>
              <w:right w:val="single" w:sz="8" w:color="auto"/>
            </w:tcBorders>
            <w:shd w:val="clear" w:color="auto" w:fill="CCEEFF"/>
          </w:tcPr>
          <w:p>
            <w:pPr>
              <w:jc w:val="center"/>
              <w:ind w:right="78"/>
              <w:spacing w:after="0"/>
              <w:rPr>
                <w:sz w:val="20"/>
                <w:szCs w:val="20"/>
                <w:color w:val="auto"/>
              </w:rPr>
            </w:pPr>
            <w:r>
              <w:rPr>
                <w:rFonts w:ascii="Arial" w:cs="Arial" w:eastAsia="Arial" w:hAnsi="Arial"/>
                <w:sz w:val="12"/>
                <w:szCs w:val="12"/>
                <w:color w:val="auto"/>
                <w:w w:val="97"/>
              </w:rPr>
              <w:t>Subscription Rights</w:t>
            </w:r>
            <w:r>
              <w:rPr>
                <w:rFonts w:ascii="Arial" w:cs="Arial" w:eastAsia="Arial" w:hAnsi="Arial"/>
                <w:sz w:val="14"/>
                <w:szCs w:val="14"/>
                <w:color w:val="auto"/>
                <w:w w:val="97"/>
                <w:vertAlign w:val="superscript"/>
              </w:rPr>
              <w:t>(2)</w:t>
            </w:r>
          </w:p>
        </w:tc>
        <w:tc>
          <w:tcPr>
            <w:tcW w:w="920" w:type="dxa"/>
            <w:vAlign w:val="bottom"/>
            <w:tcBorders>
              <w:bottom w:val="single" w:sz="8" w:color="auto"/>
              <w:right w:val="single" w:sz="8" w:color="auto"/>
            </w:tcBorders>
            <w:shd w:val="clear" w:color="auto" w:fill="CCEEFF"/>
          </w:tcPr>
          <w:p>
            <w:pPr>
              <w:spacing w:after="0"/>
              <w:rPr>
                <w:sz w:val="18"/>
                <w:szCs w:val="18"/>
                <w:color w:val="auto"/>
              </w:rPr>
            </w:pPr>
          </w:p>
        </w:tc>
        <w:tc>
          <w:tcPr>
            <w:tcW w:w="1300" w:type="dxa"/>
            <w:vAlign w:val="bottom"/>
            <w:tcBorders>
              <w:bottom w:val="single" w:sz="8" w:color="auto"/>
              <w:right w:val="single" w:sz="8" w:color="auto"/>
            </w:tcBorders>
            <w:shd w:val="clear" w:color="auto" w:fill="CCEEFF"/>
          </w:tcPr>
          <w:p>
            <w:pPr>
              <w:spacing w:after="0"/>
              <w:rPr>
                <w:sz w:val="18"/>
                <w:szCs w:val="18"/>
                <w:color w:val="auto"/>
              </w:rPr>
            </w:pPr>
          </w:p>
        </w:tc>
        <w:tc>
          <w:tcPr>
            <w:tcW w:w="1280" w:type="dxa"/>
            <w:vAlign w:val="bottom"/>
            <w:tcBorders>
              <w:bottom w:val="single" w:sz="8" w:color="auto"/>
              <w:right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r>
      <w:tr>
        <w:trPr>
          <w:trHeight w:val="203"/>
        </w:trPr>
        <w:tc>
          <w:tcPr>
            <w:tcW w:w="4380" w:type="dxa"/>
            <w:vAlign w:val="bottom"/>
            <w:tcBorders>
              <w:bottom w:val="single" w:sz="8" w:color="auto"/>
              <w:right w:val="single" w:sz="8" w:color="auto"/>
            </w:tcBorders>
          </w:tcPr>
          <w:p>
            <w:pPr>
              <w:jc w:val="center"/>
              <w:ind w:right="78"/>
              <w:spacing w:after="0"/>
              <w:rPr>
                <w:sz w:val="20"/>
                <w:szCs w:val="20"/>
                <w:color w:val="auto"/>
              </w:rPr>
            </w:pPr>
            <w:r>
              <w:rPr>
                <w:rFonts w:ascii="Arial" w:cs="Arial" w:eastAsia="Arial" w:hAnsi="Arial"/>
                <w:sz w:val="12"/>
                <w:szCs w:val="12"/>
                <w:color w:val="auto"/>
                <w:w w:val="94"/>
              </w:rPr>
              <w:t>Depositary Shares</w:t>
            </w:r>
            <w:r>
              <w:rPr>
                <w:rFonts w:ascii="Arial" w:cs="Arial" w:eastAsia="Arial" w:hAnsi="Arial"/>
                <w:sz w:val="14"/>
                <w:szCs w:val="14"/>
                <w:color w:val="auto"/>
                <w:w w:val="94"/>
                <w:vertAlign w:val="superscript"/>
              </w:rPr>
              <w:t>(3)</w:t>
            </w:r>
          </w:p>
        </w:tc>
        <w:tc>
          <w:tcPr>
            <w:tcW w:w="92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264"/>
        </w:trPr>
        <w:tc>
          <w:tcPr>
            <w:tcW w:w="4380" w:type="dxa"/>
            <w:vAlign w:val="bottom"/>
            <w:tcBorders>
              <w:right w:val="single" w:sz="8" w:color="auto"/>
            </w:tcBorders>
            <w:shd w:val="clear" w:color="auto" w:fill="CCEEFF"/>
          </w:tcPr>
          <w:p>
            <w:pPr>
              <w:jc w:val="center"/>
              <w:ind w:right="58"/>
              <w:spacing w:after="0"/>
              <w:rPr>
                <w:sz w:val="20"/>
                <w:szCs w:val="20"/>
                <w:color w:val="auto"/>
              </w:rPr>
            </w:pPr>
            <w:r>
              <w:rPr>
                <w:rFonts w:ascii="Arial" w:cs="Arial" w:eastAsia="Arial" w:hAnsi="Arial"/>
                <w:sz w:val="12"/>
                <w:szCs w:val="12"/>
                <w:color w:val="auto"/>
                <w:w w:val="97"/>
              </w:rPr>
              <w:t>Units</w:t>
            </w:r>
            <w:r>
              <w:rPr>
                <w:rFonts w:ascii="Arial" w:cs="Arial" w:eastAsia="Arial" w:hAnsi="Arial"/>
                <w:sz w:val="14"/>
                <w:szCs w:val="14"/>
                <w:color w:val="auto"/>
                <w:w w:val="97"/>
                <w:vertAlign w:val="superscript"/>
              </w:rPr>
              <w:t>(4)</w:t>
            </w:r>
          </w:p>
        </w:tc>
        <w:tc>
          <w:tcPr>
            <w:tcW w:w="920" w:type="dxa"/>
            <w:vAlign w:val="bottom"/>
            <w:tcBorders>
              <w:right w:val="single" w:sz="8" w:color="auto"/>
            </w:tcBorders>
            <w:shd w:val="clear" w:color="auto" w:fill="CCEEFF"/>
          </w:tcPr>
          <w:p>
            <w:pPr>
              <w:spacing w:after="0"/>
              <w:rPr>
                <w:sz w:val="22"/>
                <w:szCs w:val="22"/>
                <w:color w:val="auto"/>
              </w:rPr>
            </w:pPr>
          </w:p>
        </w:tc>
        <w:tc>
          <w:tcPr>
            <w:tcW w:w="1300" w:type="dxa"/>
            <w:vAlign w:val="bottom"/>
            <w:tcBorders>
              <w:right w:val="single" w:sz="8" w:color="auto"/>
            </w:tcBorders>
            <w:shd w:val="clear" w:color="auto" w:fill="CCEEFF"/>
          </w:tcPr>
          <w:p>
            <w:pPr>
              <w:spacing w:after="0"/>
              <w:rPr>
                <w:sz w:val="22"/>
                <w:szCs w:val="22"/>
                <w:color w:val="auto"/>
              </w:rPr>
            </w:pPr>
          </w:p>
        </w:tc>
        <w:tc>
          <w:tcPr>
            <w:tcW w:w="1280" w:type="dxa"/>
            <w:vAlign w:val="bottom"/>
            <w:tcBorders>
              <w:right w:val="single" w:sz="8" w:color="auto"/>
            </w:tcBorders>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90"/>
        </w:trPr>
        <w:tc>
          <w:tcPr>
            <w:tcW w:w="4380" w:type="dxa"/>
            <w:vAlign w:val="bottom"/>
            <w:tcBorders>
              <w:bottom w:val="single" w:sz="8" w:color="auto"/>
              <w:right w:val="single" w:sz="8" w:color="auto"/>
            </w:tcBorders>
            <w:shd w:val="clear" w:color="auto" w:fill="CCEEFF"/>
          </w:tcPr>
          <w:p>
            <w:pPr>
              <w:spacing w:after="0"/>
              <w:rPr>
                <w:sz w:val="7"/>
                <w:szCs w:val="7"/>
                <w:color w:val="auto"/>
              </w:rPr>
            </w:pPr>
          </w:p>
        </w:tc>
        <w:tc>
          <w:tcPr>
            <w:tcW w:w="920" w:type="dxa"/>
            <w:vAlign w:val="bottom"/>
            <w:tcBorders>
              <w:bottom w:val="single" w:sz="8" w:color="auto"/>
              <w:right w:val="single" w:sz="8" w:color="auto"/>
            </w:tcBorders>
            <w:shd w:val="clear" w:color="auto" w:fill="CCEEFF"/>
          </w:tcPr>
          <w:p>
            <w:pPr>
              <w:spacing w:after="0"/>
              <w:rPr>
                <w:sz w:val="7"/>
                <w:szCs w:val="7"/>
                <w:color w:val="auto"/>
              </w:rPr>
            </w:pPr>
          </w:p>
        </w:tc>
        <w:tc>
          <w:tcPr>
            <w:tcW w:w="1300" w:type="dxa"/>
            <w:vAlign w:val="bottom"/>
            <w:tcBorders>
              <w:bottom w:val="single" w:sz="8" w:color="auto"/>
              <w:right w:val="single" w:sz="8" w:color="auto"/>
            </w:tcBorders>
            <w:shd w:val="clear" w:color="auto" w:fill="CCEEFF"/>
          </w:tcPr>
          <w:p>
            <w:pPr>
              <w:spacing w:after="0"/>
              <w:rPr>
                <w:sz w:val="7"/>
                <w:szCs w:val="7"/>
                <w:color w:val="auto"/>
              </w:rPr>
            </w:pPr>
          </w:p>
        </w:tc>
        <w:tc>
          <w:tcPr>
            <w:tcW w:w="1280" w:type="dxa"/>
            <w:vAlign w:val="bottom"/>
            <w:tcBorders>
              <w:bottom w:val="single" w:sz="8" w:color="auto"/>
              <w:right w:val="single" w:sz="8" w:color="auto"/>
            </w:tcBorders>
            <w:shd w:val="clear" w:color="auto" w:fill="CCEEFF"/>
          </w:tcPr>
          <w:p>
            <w:pPr>
              <w:spacing w:after="0"/>
              <w:rPr>
                <w:sz w:val="7"/>
                <w:szCs w:val="7"/>
                <w:color w:val="auto"/>
              </w:rPr>
            </w:pPr>
          </w:p>
        </w:tc>
        <w:tc>
          <w:tcPr>
            <w:tcW w:w="1060" w:type="dxa"/>
            <w:vAlign w:val="bottom"/>
            <w:tcBorders>
              <w:bottom w:val="single" w:sz="8" w:color="auto"/>
            </w:tcBorders>
            <w:shd w:val="clear" w:color="auto" w:fill="CCEEFF"/>
          </w:tcPr>
          <w:p>
            <w:pPr>
              <w:spacing w:after="0"/>
              <w:rPr>
                <w:sz w:val="7"/>
                <w:szCs w:val="7"/>
                <w:color w:val="auto"/>
              </w:rPr>
            </w:pPr>
          </w:p>
        </w:tc>
      </w:tr>
      <w:tr>
        <w:trPr>
          <w:trHeight w:val="20"/>
        </w:trPr>
        <w:tc>
          <w:tcPr>
            <w:tcW w:w="438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4" w:lineRule="exact"/>
        <w:rPr>
          <w:sz w:val="24"/>
          <w:szCs w:val="24"/>
          <w:color w:val="auto"/>
        </w:rPr>
      </w:pPr>
    </w:p>
    <w:p>
      <w:pPr>
        <w:ind w:left="780" w:right="39" w:hanging="332"/>
        <w:spacing w:after="0" w:line="223" w:lineRule="auto"/>
        <w:tabs>
          <w:tab w:leader="none" w:pos="780" w:val="left"/>
        </w:tabs>
        <w:numPr>
          <w:ilvl w:val="0"/>
          <w:numId w:val="1"/>
        </w:numPr>
        <w:rPr>
          <w:rFonts w:ascii="Arial" w:cs="Arial" w:eastAsia="Arial" w:hAnsi="Arial"/>
          <w:sz w:val="12"/>
          <w:szCs w:val="12"/>
          <w:color w:val="auto"/>
        </w:rPr>
      </w:pPr>
      <w:r>
        <w:rPr>
          <w:rFonts w:ascii="Arial" w:cs="Arial" w:eastAsia="Arial" w:hAnsi="Arial"/>
          <w:sz w:val="12"/>
          <w:szCs w:val="12"/>
          <w:color w:val="auto"/>
        </w:rPr>
        <w:t>Pursuant to Form S-3 General Instruction II.E this information is not required to be included. An indeterminate amount of the securities of each identified class is being registered as may from time to time be offered hereunder at indeterminate prices, along with an indeterminate number of securities that may be issued upon exercise, settlement, exchange or conversion of securities offered or sold hereunder or that are represented by depositary shares.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 In accordance with Rules 456(b) and 457(r) under the Securities Act, the registrant is deferring payment of all registration fees and will pay the registration fees subsequently in advance or on a “pay-as-you-go” basis.</w:t>
      </w:r>
    </w:p>
    <w:p>
      <w:pPr>
        <w:spacing w:after="0" w:line="3" w:lineRule="exact"/>
        <w:rPr>
          <w:rFonts w:ascii="Arial" w:cs="Arial" w:eastAsia="Arial" w:hAnsi="Arial"/>
          <w:sz w:val="12"/>
          <w:szCs w:val="12"/>
          <w:color w:val="auto"/>
        </w:rPr>
      </w:pPr>
    </w:p>
    <w:p>
      <w:pPr>
        <w:ind w:left="780" w:hanging="332"/>
        <w:spacing w:after="0"/>
        <w:tabs>
          <w:tab w:leader="none" w:pos="78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subscription rights to purchase shares of common stock or preferred stock will be offered without additional consideration.</w:t>
      </w:r>
    </w:p>
    <w:p>
      <w:pPr>
        <w:spacing w:after="0" w:line="15" w:lineRule="exact"/>
        <w:rPr>
          <w:rFonts w:ascii="Arial" w:cs="Arial" w:eastAsia="Arial" w:hAnsi="Arial"/>
          <w:sz w:val="12"/>
          <w:szCs w:val="12"/>
          <w:color w:val="auto"/>
        </w:rPr>
      </w:pPr>
    </w:p>
    <w:p>
      <w:pPr>
        <w:ind w:left="780" w:right="419" w:hanging="332"/>
        <w:spacing w:after="0" w:line="243" w:lineRule="auto"/>
        <w:tabs>
          <w:tab w:leader="none" w:pos="780" w:val="left"/>
        </w:tabs>
        <w:numPr>
          <w:ilvl w:val="0"/>
          <w:numId w:val="1"/>
        </w:numPr>
        <w:rPr>
          <w:rFonts w:ascii="Arial" w:cs="Arial" w:eastAsia="Arial" w:hAnsi="Arial"/>
          <w:sz w:val="12"/>
          <w:szCs w:val="12"/>
          <w:color w:val="auto"/>
        </w:rPr>
      </w:pPr>
      <w:r>
        <w:rPr>
          <w:rFonts w:ascii="Arial" w:cs="Arial" w:eastAsia="Arial" w:hAnsi="Arial"/>
          <w:sz w:val="12"/>
          <w:szCs w:val="12"/>
          <w:color w:val="auto"/>
        </w:rPr>
        <w:t>Each depositary share will be issued under a deposit agreement, will represent an interest in a fractional share or multiple shares of preferred stock and will be evidenced by a depositary receipt.</w:t>
      </w:r>
    </w:p>
    <w:p>
      <w:pPr>
        <w:spacing w:after="0" w:line="1" w:lineRule="exact"/>
        <w:rPr>
          <w:rFonts w:ascii="Arial" w:cs="Arial" w:eastAsia="Arial" w:hAnsi="Arial"/>
          <w:sz w:val="12"/>
          <w:szCs w:val="12"/>
          <w:color w:val="auto"/>
        </w:rPr>
      </w:pPr>
    </w:p>
    <w:p>
      <w:pPr>
        <w:ind w:left="780" w:right="99" w:hanging="332"/>
        <w:spacing w:after="0" w:line="237" w:lineRule="auto"/>
        <w:tabs>
          <w:tab w:leader="none" w:pos="780" w:val="left"/>
        </w:tabs>
        <w:numPr>
          <w:ilvl w:val="0"/>
          <w:numId w:val="1"/>
        </w:numPr>
        <w:rPr>
          <w:rFonts w:ascii="Arial" w:cs="Arial" w:eastAsia="Arial" w:hAnsi="Arial"/>
          <w:sz w:val="12"/>
          <w:szCs w:val="12"/>
          <w:color w:val="auto"/>
        </w:rPr>
      </w:pPr>
      <w:r>
        <w:rPr>
          <w:rFonts w:ascii="Arial" w:cs="Arial" w:eastAsia="Arial" w:hAnsi="Arial"/>
          <w:sz w:val="12"/>
          <w:szCs w:val="12"/>
          <w:color w:val="auto"/>
        </w:rPr>
        <w:t>Units may be issued under a unit agreement and will represent an interest in one or more securities registered hereby, including shares of common stock or preferred stock, debt securities, depositary shares, warrants or subscription rights in any combination, which may or may not be separable from one another.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wp:posOffset>
            </wp:positionH>
            <wp:positionV relativeFrom="paragraph">
              <wp:posOffset>32385</wp:posOffset>
            </wp:positionV>
            <wp:extent cx="56788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78805" cy="7620"/>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48260</wp:posOffset>
            </wp:positionV>
            <wp:extent cx="5678805" cy="23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78805" cy="2349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287655</wp:posOffset>
            </wp:positionV>
            <wp:extent cx="6271260"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71260" cy="41275"/>
                    </a:xfrm>
                    <a:prstGeom prst="rect">
                      <a:avLst/>
                    </a:prstGeom>
                    <a:noFill/>
                  </pic:spPr>
                </pic:pic>
              </a:graphicData>
            </a:graphic>
          </wp:anchor>
        </w:drawing>
      </w:r>
    </w:p>
    <w:p>
      <w:pPr>
        <w:sectPr>
          <w:pgSz w:w="11900" w:h="16838" w:orient="portrait"/>
          <w:cols w:equalWidth="0" w:num="1">
            <w:col w:w="9439"/>
          </w:cols>
          <w:pgMar w:left="1020" w:top="231" w:right="1440" w:bottom="1440" w:gutter="0" w:footer="0" w:header="0"/>
        </w:sectPr>
      </w:pPr>
    </w:p>
    <w:bookmarkStart w:id="1" w:name="page2"/>
    <w:bookmarkEnd w:id="1"/>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20" w:lineRule="exact"/>
        <w:rPr>
          <w:sz w:val="20"/>
          <w:szCs w:val="20"/>
          <w:color w:val="auto"/>
        </w:rPr>
      </w:pPr>
    </w:p>
    <w:p>
      <w:pPr>
        <w:jc w:val="center"/>
        <w:ind w:right="-420"/>
        <w:spacing w:after="0"/>
        <w:rPr>
          <w:sz w:val="20"/>
          <w:szCs w:val="20"/>
          <w:color w:val="auto"/>
        </w:rPr>
      </w:pPr>
      <w:r>
        <w:rPr>
          <w:rFonts w:ascii="Arial" w:cs="Arial" w:eastAsia="Arial" w:hAnsi="Arial"/>
          <w:sz w:val="23"/>
          <w:szCs w:val="23"/>
          <w:b w:val="1"/>
          <w:bCs w:val="1"/>
          <w:color w:val="auto"/>
        </w:rPr>
        <w:t>PROSPECTUS</w:t>
      </w:r>
    </w:p>
    <w:p>
      <w:pPr>
        <w:spacing w:after="0" w:line="177" w:lineRule="exact"/>
        <w:rPr>
          <w:sz w:val="20"/>
          <w:szCs w:val="20"/>
          <w:color w:val="auto"/>
        </w:rPr>
      </w:pPr>
    </w:p>
    <w:p>
      <w:pPr>
        <w:jc w:val="center"/>
        <w:ind w:right="-420"/>
        <w:spacing w:after="0"/>
        <w:rPr>
          <w:sz w:val="20"/>
          <w:szCs w:val="20"/>
          <w:color w:val="auto"/>
        </w:rPr>
      </w:pPr>
      <w:r>
        <w:rPr>
          <w:rFonts w:ascii="Arial" w:cs="Arial" w:eastAsia="Arial" w:hAnsi="Arial"/>
          <w:sz w:val="30"/>
          <w:szCs w:val="30"/>
          <w:b w:val="1"/>
          <w:bCs w:val="1"/>
          <w:color w:val="auto"/>
        </w:rPr>
        <w:t>IVERIC bio, Inc.</w:t>
      </w:r>
    </w:p>
    <w:p>
      <w:pPr>
        <w:spacing w:after="0" w:line="198" w:lineRule="exact"/>
        <w:rPr>
          <w:sz w:val="20"/>
          <w:szCs w:val="20"/>
          <w:color w:val="auto"/>
        </w:rPr>
      </w:pPr>
    </w:p>
    <w:p>
      <w:pPr>
        <w:jc w:val="center"/>
        <w:ind w:right="-380"/>
        <w:spacing w:after="0"/>
        <w:rPr>
          <w:sz w:val="20"/>
          <w:szCs w:val="20"/>
          <w:color w:val="auto"/>
        </w:rPr>
      </w:pPr>
      <w:r>
        <w:rPr>
          <w:rFonts w:ascii="Arial" w:cs="Arial" w:eastAsia="Arial" w:hAnsi="Arial"/>
          <w:sz w:val="17"/>
          <w:szCs w:val="17"/>
          <w:b w:val="1"/>
          <w:bCs w:val="1"/>
          <w:color w:val="auto"/>
        </w:rPr>
        <w:t>Debt Securities</w:t>
      </w:r>
    </w:p>
    <w:p>
      <w:pPr>
        <w:spacing w:after="0" w:line="18" w:lineRule="exact"/>
        <w:rPr>
          <w:sz w:val="20"/>
          <w:szCs w:val="20"/>
          <w:color w:val="auto"/>
        </w:rPr>
      </w:pPr>
    </w:p>
    <w:p>
      <w:pPr>
        <w:jc w:val="center"/>
        <w:ind w:right="-380"/>
        <w:spacing w:after="0"/>
        <w:rPr>
          <w:sz w:val="20"/>
          <w:szCs w:val="20"/>
          <w:color w:val="auto"/>
        </w:rPr>
      </w:pPr>
      <w:r>
        <w:rPr>
          <w:rFonts w:ascii="Arial" w:cs="Arial" w:eastAsia="Arial" w:hAnsi="Arial"/>
          <w:sz w:val="17"/>
          <w:szCs w:val="17"/>
          <w:b w:val="1"/>
          <w:bCs w:val="1"/>
          <w:color w:val="auto"/>
        </w:rPr>
        <w:t>Common Stock</w:t>
      </w:r>
    </w:p>
    <w:p>
      <w:pPr>
        <w:spacing w:after="0" w:line="3" w:lineRule="exact"/>
        <w:rPr>
          <w:sz w:val="20"/>
          <w:szCs w:val="20"/>
          <w:color w:val="auto"/>
        </w:rPr>
      </w:pPr>
    </w:p>
    <w:p>
      <w:pPr>
        <w:jc w:val="center"/>
        <w:ind w:right="-380"/>
        <w:spacing w:after="0"/>
        <w:rPr>
          <w:sz w:val="20"/>
          <w:szCs w:val="20"/>
          <w:color w:val="auto"/>
        </w:rPr>
      </w:pPr>
      <w:r>
        <w:rPr>
          <w:rFonts w:ascii="Arial" w:cs="Arial" w:eastAsia="Arial" w:hAnsi="Arial"/>
          <w:sz w:val="17"/>
          <w:szCs w:val="17"/>
          <w:b w:val="1"/>
          <w:bCs w:val="1"/>
          <w:color w:val="auto"/>
        </w:rPr>
        <w:t>Preferred Stock</w:t>
      </w:r>
    </w:p>
    <w:p>
      <w:pPr>
        <w:spacing w:after="0" w:line="3" w:lineRule="exact"/>
        <w:rPr>
          <w:sz w:val="20"/>
          <w:szCs w:val="20"/>
          <w:color w:val="auto"/>
        </w:rPr>
      </w:pPr>
    </w:p>
    <w:p>
      <w:pPr>
        <w:jc w:val="center"/>
        <w:ind w:right="-380"/>
        <w:spacing w:after="0"/>
        <w:rPr>
          <w:sz w:val="20"/>
          <w:szCs w:val="20"/>
          <w:color w:val="auto"/>
        </w:rPr>
      </w:pPr>
      <w:r>
        <w:rPr>
          <w:rFonts w:ascii="Arial" w:cs="Arial" w:eastAsia="Arial" w:hAnsi="Arial"/>
          <w:sz w:val="17"/>
          <w:szCs w:val="17"/>
          <w:b w:val="1"/>
          <w:bCs w:val="1"/>
          <w:color w:val="auto"/>
        </w:rPr>
        <w:t>Warrants</w:t>
      </w:r>
    </w:p>
    <w:p>
      <w:pPr>
        <w:spacing w:after="0" w:line="3" w:lineRule="exact"/>
        <w:rPr>
          <w:sz w:val="20"/>
          <w:szCs w:val="20"/>
          <w:color w:val="auto"/>
        </w:rPr>
      </w:pPr>
    </w:p>
    <w:p>
      <w:pPr>
        <w:jc w:val="center"/>
        <w:ind w:right="-380"/>
        <w:spacing w:after="0"/>
        <w:rPr>
          <w:sz w:val="20"/>
          <w:szCs w:val="20"/>
          <w:color w:val="auto"/>
        </w:rPr>
      </w:pPr>
      <w:r>
        <w:rPr>
          <w:rFonts w:ascii="Arial" w:cs="Arial" w:eastAsia="Arial" w:hAnsi="Arial"/>
          <w:sz w:val="17"/>
          <w:szCs w:val="17"/>
          <w:b w:val="1"/>
          <w:bCs w:val="1"/>
          <w:color w:val="auto"/>
        </w:rPr>
        <w:t>Subscription Rights</w:t>
      </w:r>
    </w:p>
    <w:p>
      <w:pPr>
        <w:spacing w:after="0" w:line="3" w:lineRule="exact"/>
        <w:rPr>
          <w:sz w:val="20"/>
          <w:szCs w:val="20"/>
          <w:color w:val="auto"/>
        </w:rPr>
      </w:pPr>
    </w:p>
    <w:p>
      <w:pPr>
        <w:jc w:val="center"/>
        <w:ind w:right="-380"/>
        <w:spacing w:after="0"/>
        <w:rPr>
          <w:sz w:val="20"/>
          <w:szCs w:val="20"/>
          <w:color w:val="auto"/>
        </w:rPr>
      </w:pPr>
      <w:r>
        <w:rPr>
          <w:rFonts w:ascii="Arial" w:cs="Arial" w:eastAsia="Arial" w:hAnsi="Arial"/>
          <w:sz w:val="17"/>
          <w:szCs w:val="17"/>
          <w:b w:val="1"/>
          <w:bCs w:val="1"/>
          <w:color w:val="auto"/>
        </w:rPr>
        <w:t>Depositary Shares</w:t>
      </w:r>
    </w:p>
    <w:p>
      <w:pPr>
        <w:spacing w:after="0" w:line="3" w:lineRule="exact"/>
        <w:rPr>
          <w:sz w:val="20"/>
          <w:szCs w:val="20"/>
          <w:color w:val="auto"/>
        </w:rPr>
      </w:pPr>
    </w:p>
    <w:p>
      <w:pPr>
        <w:jc w:val="center"/>
        <w:ind w:right="-420"/>
        <w:spacing w:after="0"/>
        <w:rPr>
          <w:sz w:val="20"/>
          <w:szCs w:val="20"/>
          <w:color w:val="auto"/>
        </w:rPr>
      </w:pPr>
      <w:r>
        <w:rPr>
          <w:rFonts w:ascii="Arial" w:cs="Arial" w:eastAsia="Arial" w:hAnsi="Arial"/>
          <w:sz w:val="17"/>
          <w:szCs w:val="17"/>
          <w:b w:val="1"/>
          <w:bCs w:val="1"/>
          <w:color w:val="auto"/>
        </w:rPr>
        <w:t>Units</w:t>
      </w:r>
    </w:p>
    <w:p>
      <w:pPr>
        <w:spacing w:after="0" w:line="129" w:lineRule="exact"/>
        <w:rPr>
          <w:sz w:val="20"/>
          <w:szCs w:val="20"/>
          <w:color w:val="auto"/>
        </w:rPr>
      </w:pPr>
    </w:p>
    <w:p>
      <w:pPr>
        <w:ind w:left="1160" w:right="879" w:firstLine="331"/>
        <w:spacing w:after="0" w:line="286" w:lineRule="auto"/>
        <w:rPr>
          <w:sz w:val="20"/>
          <w:szCs w:val="20"/>
          <w:color w:val="auto"/>
        </w:rPr>
      </w:pPr>
      <w:r>
        <w:rPr>
          <w:rFonts w:ascii="Arial" w:cs="Arial" w:eastAsia="Arial" w:hAnsi="Arial"/>
          <w:sz w:val="15"/>
          <w:szCs w:val="15"/>
          <w:color w:val="auto"/>
        </w:rPr>
        <w:t>We may offer and sell securities from time to time in one or more offerings.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document. You should read this prospectus and any applicable prospectus supplement before you invest.</w:t>
      </w:r>
    </w:p>
    <w:p>
      <w:pPr>
        <w:spacing w:after="0" w:line="81" w:lineRule="exact"/>
        <w:rPr>
          <w:sz w:val="20"/>
          <w:szCs w:val="20"/>
          <w:color w:val="auto"/>
        </w:rPr>
      </w:pPr>
    </w:p>
    <w:p>
      <w:pPr>
        <w:ind w:left="1160" w:right="739" w:firstLine="331"/>
        <w:spacing w:after="0" w:line="249" w:lineRule="auto"/>
        <w:rPr>
          <w:sz w:val="20"/>
          <w:szCs w:val="20"/>
          <w:color w:val="auto"/>
        </w:rPr>
      </w:pPr>
      <w:r>
        <w:rPr>
          <w:rFonts w:ascii="Arial" w:cs="Arial" w:eastAsia="Arial" w:hAnsi="Arial"/>
          <w:sz w:val="17"/>
          <w:szCs w:val="17"/>
          <w:color w:val="auto"/>
        </w:rPr>
        <w:t>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Our common stock is listed on The Nasdaq Global Select Market under the symbol “ISEE”.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2563495</wp:posOffset>
            </wp:positionH>
            <wp:positionV relativeFrom="paragraph">
              <wp:posOffset>207010</wp:posOffset>
            </wp:positionV>
            <wp:extent cx="113411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1160" w:right="759" w:firstLine="331"/>
        <w:spacing w:after="0" w:line="334" w:lineRule="auto"/>
        <w:rPr>
          <w:sz w:val="20"/>
          <w:szCs w:val="20"/>
          <w:color w:val="auto"/>
        </w:rPr>
      </w:pPr>
      <w:r>
        <w:rPr>
          <w:rFonts w:ascii="Arial" w:cs="Arial" w:eastAsia="Arial" w:hAnsi="Arial"/>
          <w:sz w:val="14"/>
          <w:szCs w:val="14"/>
          <w:b w:val="1"/>
          <w:bCs w:val="1"/>
          <w:color w:val="auto"/>
        </w:rPr>
        <w:t>Investing in these securities involves significant risks. See “Risk Factors” included in any accompanying prospectus supplement and in the documents incorporated by reference in this prospectus for a discussion of the factors you should carefully consider before deciding to purchase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2563495</wp:posOffset>
            </wp:positionH>
            <wp:positionV relativeFrom="paragraph">
              <wp:posOffset>158750</wp:posOffset>
            </wp:positionV>
            <wp:extent cx="113411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1160" w:right="819" w:firstLine="331"/>
        <w:spacing w:after="0" w:line="254"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280"/>
        <w:spacing w:after="0"/>
        <w:rPr>
          <w:sz w:val="20"/>
          <w:szCs w:val="20"/>
          <w:color w:val="auto"/>
        </w:rPr>
      </w:pPr>
      <w:r>
        <w:rPr>
          <w:rFonts w:ascii="Arial" w:cs="Arial" w:eastAsia="Arial" w:hAnsi="Arial"/>
          <w:sz w:val="17"/>
          <w:szCs w:val="17"/>
          <w:color w:val="auto"/>
        </w:rPr>
        <w:t>The date of this prospectus is October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233680</wp:posOffset>
            </wp:positionV>
            <wp:extent cx="627126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71260" cy="41275"/>
                    </a:xfrm>
                    <a:prstGeom prst="rect">
                      <a:avLst/>
                    </a:prstGeom>
                    <a:noFill/>
                  </pic:spPr>
                </pic:pic>
              </a:graphicData>
            </a:graphic>
          </wp:anchor>
        </w:drawing>
      </w:r>
    </w:p>
    <w:p>
      <w:pPr>
        <w:sectPr>
          <w:pgSz w:w="11900" w:h="16838" w:orient="portrait"/>
          <w:cols w:equalWidth="0" w:num="1">
            <w:col w:w="9439"/>
          </w:cols>
          <w:pgMar w:left="1020" w:top="131" w:right="1440" w:bottom="1440" w:gutter="0" w:footer="0" w:header="0"/>
        </w:sectPr>
      </w:pPr>
    </w:p>
    <w:bookmarkStart w:id="2" w:name="page3"/>
    <w:bookmarkEnd w:id="2"/>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11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20" w:type="dxa"/>
            <w:vAlign w:val="bottom"/>
            <w:gridSpan w:val="4"/>
          </w:tcPr>
          <w:p>
            <w:pPr>
              <w:ind w:left="20"/>
              <w:spacing w:after="0"/>
              <w:rPr>
                <w:sz w:val="20"/>
                <w:szCs w:val="20"/>
                <w:color w:val="auto"/>
              </w:rPr>
            </w:pPr>
            <w:r>
              <w:rPr>
                <w:rFonts w:ascii="Arial" w:cs="Arial" w:eastAsia="Arial" w:hAnsi="Arial"/>
                <w:sz w:val="17"/>
                <w:szCs w:val="17"/>
                <w:b w:val="1"/>
                <w:bCs w:val="1"/>
                <w:color w:val="auto"/>
              </w:rPr>
              <w:t>TABLE OF CONTENTS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Borders>
              <w:bottom w:val="single" w:sz="8" w:color="0000EE"/>
            </w:tcBorders>
            <w:vMerge w:val="continue"/>
          </w:tcPr>
          <w:p>
            <w:pPr>
              <w:spacing w:after="0"/>
              <w:rPr>
                <w:sz w:val="13"/>
                <w:szCs w:val="13"/>
                <w:color w:val="auto"/>
              </w:rPr>
            </w:pPr>
          </w:p>
        </w:tc>
        <w:tc>
          <w:tcPr>
            <w:tcW w:w="2100" w:type="dxa"/>
            <w:vAlign w:val="bottom"/>
            <w:tcBorders>
              <w:bottom w:val="single" w:sz="8" w:color="0000EE"/>
            </w:tcBorders>
            <w:gridSpan w:val="9"/>
            <w:shd w:val="clear" w:color="auto" w:fill="CCEEFF"/>
          </w:tcPr>
          <w:p>
            <w:pPr>
              <w:spacing w:after="0" w:line="149" w:lineRule="exact"/>
              <w:rPr>
                <w:rFonts w:ascii="Arial" w:cs="Arial" w:eastAsia="Arial" w:hAnsi="Arial"/>
                <w:sz w:val="17"/>
                <w:szCs w:val="17"/>
                <w:color w:val="0000EE"/>
                <w:w w:val="92"/>
              </w:rPr>
            </w:pPr>
            <w:hyperlink w:anchor="page3">
              <w:r>
                <w:rPr>
                  <w:rFonts w:ascii="Arial" w:cs="Arial" w:eastAsia="Arial" w:hAnsi="Arial"/>
                  <w:sz w:val="17"/>
                  <w:szCs w:val="17"/>
                  <w:color w:val="0000EE"/>
                  <w:w w:val="92"/>
                </w:rPr>
                <w:t>ABOUT THIS PROSPECTUS</w:t>
              </w:r>
            </w:hyperlink>
          </w:p>
        </w:tc>
        <w:tc>
          <w:tcPr>
            <w:tcW w:w="3880" w:type="dxa"/>
            <w:vAlign w:val="bottom"/>
            <w:tcBorders>
              <w:bottom w:val="single" w:sz="8" w:color="CCEEFF"/>
            </w:tcBorders>
            <w:gridSpan w:val="9"/>
            <w:shd w:val="clear" w:color="auto" w:fill="CCEEFF"/>
          </w:tcPr>
          <w:p>
            <w:pPr>
              <w:spacing w:after="0"/>
              <w:rPr>
                <w:sz w:val="13"/>
                <w:szCs w:val="13"/>
                <w:color w:val="auto"/>
              </w:rPr>
            </w:pPr>
          </w:p>
        </w:tc>
        <w:tc>
          <w:tcPr>
            <w:tcW w:w="1440" w:type="dxa"/>
            <w:vAlign w:val="bottom"/>
            <w:tcBorders>
              <w:bottom w:val="single" w:sz="8" w:color="CCEEFF"/>
            </w:tcBorders>
            <w:gridSpan w:val="2"/>
            <w:shd w:val="clear" w:color="auto" w:fill="CCEEFF"/>
          </w:tcPr>
          <w:p>
            <w:pPr>
              <w:spacing w:after="0"/>
              <w:rPr>
                <w:sz w:val="13"/>
                <w:szCs w:val="13"/>
                <w:color w:val="auto"/>
              </w:rPr>
            </w:pPr>
          </w:p>
        </w:tc>
        <w:tc>
          <w:tcPr>
            <w:tcW w:w="100" w:type="dxa"/>
            <w:vAlign w:val="bottom"/>
            <w:tcBorders>
              <w:bottom w:val="single" w:sz="8" w:color="0000EE"/>
            </w:tcBorders>
            <w:shd w:val="clear" w:color="auto" w:fill="CCEEFF"/>
          </w:tcPr>
          <w:p>
            <w:pPr>
              <w:jc w:val="right"/>
              <w:spacing w:after="0" w:line="149" w:lineRule="exact"/>
              <w:rPr>
                <w:rFonts w:ascii="Arial" w:cs="Arial" w:eastAsia="Arial" w:hAnsi="Arial"/>
                <w:sz w:val="17"/>
                <w:szCs w:val="17"/>
                <w:color w:val="0000EE"/>
                <w:w w:val="84"/>
              </w:rPr>
            </w:pPr>
            <w:hyperlink w:anchor="page3">
              <w:r>
                <w:rPr>
                  <w:rFonts w:ascii="Arial" w:cs="Arial" w:eastAsia="Arial" w:hAnsi="Arial"/>
                  <w:sz w:val="17"/>
                  <w:szCs w:val="17"/>
                  <w:color w:val="0000EE"/>
                  <w:w w:val="84"/>
                </w:rPr>
                <w:t>1</w:t>
              </w:r>
            </w:hyperlink>
          </w:p>
        </w:tc>
        <w:tc>
          <w:tcPr>
            <w:tcW w:w="0" w:type="dxa"/>
            <w:vAlign w:val="bottom"/>
          </w:tcPr>
          <w:p>
            <w:pPr>
              <w:spacing w:after="0"/>
              <w:rPr>
                <w:sz w:val="1"/>
                <w:szCs w:val="1"/>
                <w:color w:val="auto"/>
              </w:rPr>
            </w:pPr>
          </w:p>
        </w:tc>
      </w:tr>
      <w:tr>
        <w:trPr>
          <w:trHeight w:val="207"/>
        </w:trPr>
        <w:tc>
          <w:tcPr>
            <w:tcW w:w="1180" w:type="dxa"/>
            <w:vAlign w:val="bottom"/>
            <w:tcBorders>
              <w:bottom w:val="single" w:sz="8" w:color="0000EE"/>
            </w:tcBorders>
            <w:gridSpan w:val="3"/>
          </w:tcPr>
          <w:p>
            <w:pPr>
              <w:spacing w:after="0"/>
              <w:rPr>
                <w:rFonts w:ascii="Arial" w:cs="Arial" w:eastAsia="Arial" w:hAnsi="Arial"/>
                <w:sz w:val="17"/>
                <w:szCs w:val="17"/>
                <w:color w:val="0000EE"/>
                <w:w w:val="92"/>
              </w:rPr>
            </w:pPr>
            <w:hyperlink w:anchor="page3">
              <w:r>
                <w:rPr>
                  <w:rFonts w:ascii="Arial" w:cs="Arial" w:eastAsia="Arial" w:hAnsi="Arial"/>
                  <w:sz w:val="17"/>
                  <w:szCs w:val="17"/>
                  <w:color w:val="0000EE"/>
                  <w:w w:val="92"/>
                </w:rPr>
                <w:t>RISK FACTORS</w:t>
              </w:r>
            </w:hyperlink>
          </w:p>
        </w:tc>
        <w:tc>
          <w:tcPr>
            <w:tcW w:w="4820" w:type="dxa"/>
            <w:vAlign w:val="bottom"/>
            <w:gridSpan w:val="16"/>
          </w:tcPr>
          <w:p>
            <w:pPr>
              <w:spacing w:after="0"/>
              <w:rPr>
                <w:sz w:val="18"/>
                <w:szCs w:val="18"/>
                <w:color w:val="auto"/>
              </w:rPr>
            </w:pPr>
          </w:p>
        </w:tc>
        <w:tc>
          <w:tcPr>
            <w:tcW w:w="1440" w:type="dxa"/>
            <w:vAlign w:val="bottom"/>
            <w:gridSpan w:val="2"/>
          </w:tcPr>
          <w:p>
            <w:pPr>
              <w:spacing w:after="0"/>
              <w:rPr>
                <w:sz w:val="18"/>
                <w:szCs w:val="18"/>
                <w:color w:val="auto"/>
              </w:rPr>
            </w:pPr>
          </w:p>
        </w:tc>
        <w:tc>
          <w:tcPr>
            <w:tcW w:w="100" w:type="dxa"/>
            <w:vAlign w:val="bottom"/>
            <w:tcBorders>
              <w:bottom w:val="single" w:sz="8" w:color="0000EE"/>
            </w:tcBorders>
          </w:tcPr>
          <w:p>
            <w:pPr>
              <w:jc w:val="right"/>
              <w:spacing w:after="0"/>
              <w:rPr>
                <w:rFonts w:ascii="Arial" w:cs="Arial" w:eastAsia="Arial" w:hAnsi="Arial"/>
                <w:sz w:val="17"/>
                <w:szCs w:val="17"/>
                <w:color w:val="0000EE"/>
                <w:w w:val="84"/>
              </w:rPr>
            </w:pPr>
            <w:hyperlink w:anchor="page3">
              <w:r>
                <w:rPr>
                  <w:rFonts w:ascii="Arial" w:cs="Arial" w:eastAsia="Arial" w:hAnsi="Arial"/>
                  <w:sz w:val="17"/>
                  <w:szCs w:val="17"/>
                  <w:color w:val="0000EE"/>
                  <w:w w:val="84"/>
                </w:rPr>
                <w:t>1</w:t>
              </w:r>
            </w:hyperlink>
          </w:p>
        </w:tc>
        <w:tc>
          <w:tcPr>
            <w:tcW w:w="0" w:type="dxa"/>
            <w:vAlign w:val="bottom"/>
          </w:tcPr>
          <w:p>
            <w:pPr>
              <w:spacing w:after="0"/>
              <w:rPr>
                <w:sz w:val="1"/>
                <w:szCs w:val="1"/>
                <w:color w:val="auto"/>
              </w:rPr>
            </w:pPr>
          </w:p>
        </w:tc>
      </w:tr>
      <w:tr>
        <w:trPr>
          <w:trHeight w:val="237"/>
        </w:trPr>
        <w:tc>
          <w:tcPr>
            <w:tcW w:w="20" w:type="dxa"/>
            <w:vAlign w:val="bottom"/>
            <w:tcBorders>
              <w:bottom w:val="single" w:sz="8" w:color="0000EE"/>
            </w:tcBorders>
          </w:tcPr>
          <w:p>
            <w:pPr>
              <w:spacing w:after="0"/>
              <w:rPr>
                <w:sz w:val="20"/>
                <w:szCs w:val="20"/>
                <w:color w:val="auto"/>
              </w:rPr>
            </w:pPr>
          </w:p>
        </w:tc>
        <w:tc>
          <w:tcPr>
            <w:tcW w:w="3600" w:type="dxa"/>
            <w:vAlign w:val="bottom"/>
            <w:tcBorders>
              <w:bottom w:val="single" w:sz="8" w:color="0000EE"/>
            </w:tcBorders>
            <w:gridSpan w:val="17"/>
            <w:shd w:val="clear" w:color="auto" w:fill="CCEEFF"/>
          </w:tcPr>
          <w:p>
            <w:pPr>
              <w:spacing w:after="0"/>
              <w:rPr>
                <w:rFonts w:ascii="Arial" w:cs="Arial" w:eastAsia="Arial" w:hAnsi="Arial"/>
                <w:sz w:val="17"/>
                <w:szCs w:val="17"/>
                <w:color w:val="0000EE"/>
                <w:w w:val="96"/>
              </w:rPr>
            </w:pPr>
            <w:hyperlink w:anchor="page3">
              <w:r>
                <w:rPr>
                  <w:rFonts w:ascii="Arial" w:cs="Arial" w:eastAsia="Arial" w:hAnsi="Arial"/>
                  <w:sz w:val="17"/>
                  <w:szCs w:val="17"/>
                  <w:color w:val="0000EE"/>
                  <w:w w:val="96"/>
                </w:rPr>
                <w:t>WHERE YOU CAN FIND MORE INFORMATION</w:t>
              </w:r>
            </w:hyperlink>
          </w:p>
        </w:tc>
        <w:tc>
          <w:tcPr>
            <w:tcW w:w="23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spacing w:after="0"/>
              <w:rPr>
                <w:sz w:val="20"/>
                <w:szCs w:val="20"/>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7"/>
                <w:szCs w:val="17"/>
                <w:color w:val="0000EE"/>
                <w:w w:val="84"/>
              </w:rPr>
            </w:pPr>
            <w:hyperlink w:anchor="page3">
              <w:r>
                <w:rPr>
                  <w:rFonts w:ascii="Arial" w:cs="Arial" w:eastAsia="Arial" w:hAnsi="Arial"/>
                  <w:sz w:val="17"/>
                  <w:szCs w:val="17"/>
                  <w:color w:val="0000EE"/>
                  <w:w w:val="84"/>
                </w:rPr>
                <w:t>1</w:t>
              </w:r>
            </w:hyperlink>
          </w:p>
        </w:tc>
        <w:tc>
          <w:tcPr>
            <w:tcW w:w="0" w:type="dxa"/>
            <w:vAlign w:val="bottom"/>
          </w:tcPr>
          <w:p>
            <w:pPr>
              <w:spacing w:after="0"/>
              <w:rPr>
                <w:sz w:val="1"/>
                <w:szCs w:val="1"/>
                <w:color w:val="auto"/>
              </w:rPr>
            </w:pPr>
          </w:p>
        </w:tc>
      </w:tr>
      <w:tr>
        <w:trPr>
          <w:trHeight w:val="211"/>
        </w:trPr>
        <w:tc>
          <w:tcPr>
            <w:tcW w:w="6000" w:type="dxa"/>
            <w:vAlign w:val="bottom"/>
            <w:gridSpan w:val="19"/>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INCORPORATION BY REFERENCE</w:t>
              </w:r>
            </w:hyperlink>
          </w:p>
        </w:tc>
        <w:tc>
          <w:tcPr>
            <w:tcW w:w="1540" w:type="dxa"/>
            <w:vAlign w:val="bottom"/>
            <w:gridSpan w:val="3"/>
          </w:tcPr>
          <w:p>
            <w:pPr>
              <w:jc w:val="right"/>
              <w:spacing w:after="0"/>
              <w:rPr>
                <w:rFonts w:ascii="Arial" w:cs="Arial" w:eastAsia="Arial" w:hAnsi="Arial"/>
                <w:sz w:val="17"/>
                <w:szCs w:val="17"/>
                <w:color w:val="0000EE"/>
              </w:rPr>
            </w:pPr>
            <w:hyperlink w:anchor="page4">
              <w:r>
                <w:rPr>
                  <w:rFonts w:ascii="Arial" w:cs="Arial" w:eastAsia="Arial" w:hAnsi="Arial"/>
                  <w:sz w:val="17"/>
                  <w:szCs w:val="17"/>
                  <w:color w:val="0000EE"/>
                </w:rPr>
                <w:t>2</w:t>
              </w:r>
            </w:hyperlink>
          </w:p>
        </w:tc>
        <w:tc>
          <w:tcPr>
            <w:tcW w:w="0" w:type="dxa"/>
            <w:vAlign w:val="bottom"/>
          </w:tcPr>
          <w:p>
            <w:pPr>
              <w:spacing w:after="0"/>
              <w:rPr>
                <w:sz w:val="1"/>
                <w:szCs w:val="1"/>
                <w:color w:val="auto"/>
              </w:rPr>
            </w:pPr>
          </w:p>
        </w:tc>
      </w:tr>
      <w:tr>
        <w:trPr>
          <w:trHeight w:val="29"/>
        </w:trPr>
        <w:tc>
          <w:tcPr>
            <w:tcW w:w="2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0000EE"/>
            </w:tcBorders>
          </w:tcPr>
          <w:p>
            <w:pPr>
              <w:spacing w:after="0"/>
              <w:rPr>
                <w:sz w:val="20"/>
                <w:szCs w:val="20"/>
                <w:color w:val="auto"/>
              </w:rPr>
            </w:pPr>
          </w:p>
        </w:tc>
        <w:tc>
          <w:tcPr>
            <w:tcW w:w="2760" w:type="dxa"/>
            <w:vAlign w:val="bottom"/>
            <w:tcBorders>
              <w:bottom w:val="single" w:sz="8" w:color="0000EE"/>
            </w:tcBorders>
            <w:gridSpan w:val="13"/>
            <w:shd w:val="clear" w:color="auto" w:fill="CCEEFF"/>
          </w:tcPr>
          <w:p>
            <w:pPr>
              <w:spacing w:after="0"/>
              <w:rPr>
                <w:rFonts w:ascii="Arial" w:cs="Arial" w:eastAsia="Arial" w:hAnsi="Arial"/>
                <w:sz w:val="17"/>
                <w:szCs w:val="17"/>
                <w:color w:val="0000EE"/>
                <w:w w:val="94"/>
              </w:rPr>
            </w:pPr>
            <w:hyperlink w:anchor="page5">
              <w:r>
                <w:rPr>
                  <w:rFonts w:ascii="Arial" w:cs="Arial" w:eastAsia="Arial" w:hAnsi="Arial"/>
                  <w:sz w:val="17"/>
                  <w:szCs w:val="17"/>
                  <w:color w:val="0000EE"/>
                  <w:w w:val="94"/>
                </w:rPr>
                <w:t>FORWARD-LOOKING STATEMENTS</w:t>
              </w:r>
            </w:hyperlink>
          </w:p>
        </w:tc>
        <w:tc>
          <w:tcPr>
            <w:tcW w:w="3220" w:type="dxa"/>
            <w:vAlign w:val="bottom"/>
            <w:tcBorders>
              <w:bottom w:val="single" w:sz="8" w:color="CCEEFF"/>
            </w:tcBorders>
            <w:gridSpan w:val="5"/>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spacing w:after="0"/>
              <w:rPr>
                <w:sz w:val="20"/>
                <w:szCs w:val="20"/>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7"/>
                <w:szCs w:val="17"/>
                <w:color w:val="0000EE"/>
                <w:w w:val="84"/>
              </w:rPr>
            </w:pPr>
            <w:hyperlink w:anchor="page5">
              <w:r>
                <w:rPr>
                  <w:rFonts w:ascii="Arial" w:cs="Arial" w:eastAsia="Arial" w:hAnsi="Arial"/>
                  <w:sz w:val="17"/>
                  <w:szCs w:val="17"/>
                  <w:color w:val="0000EE"/>
                  <w:w w:val="84"/>
                </w:rPr>
                <w:t>3</w:t>
              </w:r>
            </w:hyperlink>
          </w:p>
        </w:tc>
        <w:tc>
          <w:tcPr>
            <w:tcW w:w="0" w:type="dxa"/>
            <w:vAlign w:val="bottom"/>
          </w:tcPr>
          <w:p>
            <w:pPr>
              <w:spacing w:after="0"/>
              <w:rPr>
                <w:sz w:val="1"/>
                <w:szCs w:val="1"/>
                <w:color w:val="auto"/>
              </w:rPr>
            </w:pPr>
          </w:p>
        </w:tc>
      </w:tr>
      <w:tr>
        <w:trPr>
          <w:trHeight w:val="219"/>
        </w:trPr>
        <w:tc>
          <w:tcPr>
            <w:tcW w:w="1340" w:type="dxa"/>
            <w:vAlign w:val="bottom"/>
            <w:tcBorders>
              <w:bottom w:val="single" w:sz="8" w:color="0000EE"/>
            </w:tcBorders>
            <w:gridSpan w:val="4"/>
          </w:tcPr>
          <w:p>
            <w:pPr>
              <w:spacing w:after="0"/>
              <w:rPr>
                <w:rFonts w:ascii="Arial" w:cs="Arial" w:eastAsia="Arial" w:hAnsi="Arial"/>
                <w:sz w:val="17"/>
                <w:szCs w:val="17"/>
                <w:color w:val="0000EE"/>
                <w:w w:val="98"/>
              </w:rPr>
            </w:pPr>
            <w:hyperlink w:anchor="page7">
              <w:r>
                <w:rPr>
                  <w:rFonts w:ascii="Arial" w:cs="Arial" w:eastAsia="Arial" w:hAnsi="Arial"/>
                  <w:sz w:val="17"/>
                  <w:szCs w:val="17"/>
                  <w:color w:val="0000EE"/>
                  <w:w w:val="98"/>
                </w:rPr>
                <w:t>IVERIC BIO, INC.</w:t>
              </w:r>
            </w:hyperlink>
          </w:p>
        </w:tc>
        <w:tc>
          <w:tcPr>
            <w:tcW w:w="4660" w:type="dxa"/>
            <w:vAlign w:val="bottom"/>
            <w:gridSpan w:val="15"/>
          </w:tcPr>
          <w:p>
            <w:pPr>
              <w:spacing w:after="0"/>
              <w:rPr>
                <w:sz w:val="19"/>
                <w:szCs w:val="19"/>
                <w:color w:val="auto"/>
              </w:rPr>
            </w:pPr>
          </w:p>
        </w:tc>
        <w:tc>
          <w:tcPr>
            <w:tcW w:w="1440" w:type="dxa"/>
            <w:vAlign w:val="bottom"/>
            <w:gridSpan w:val="2"/>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7"/>
                <w:szCs w:val="17"/>
                <w:color w:val="0000EE"/>
                <w:w w:val="84"/>
              </w:rPr>
            </w:pPr>
            <w:hyperlink w:anchor="page7">
              <w:r>
                <w:rPr>
                  <w:rFonts w:ascii="Arial" w:cs="Arial" w:eastAsia="Arial" w:hAnsi="Arial"/>
                  <w:sz w:val="17"/>
                  <w:szCs w:val="17"/>
                  <w:color w:val="0000EE"/>
                  <w:w w:val="84"/>
                </w:rPr>
                <w:t>5</w:t>
              </w:r>
            </w:hyperlink>
          </w:p>
        </w:tc>
        <w:tc>
          <w:tcPr>
            <w:tcW w:w="0" w:type="dxa"/>
            <w:vAlign w:val="bottom"/>
          </w:tcPr>
          <w:p>
            <w:pPr>
              <w:spacing w:after="0"/>
              <w:rPr>
                <w:sz w:val="1"/>
                <w:szCs w:val="1"/>
                <w:color w:val="auto"/>
              </w:rPr>
            </w:pPr>
          </w:p>
        </w:tc>
      </w:tr>
      <w:tr>
        <w:trPr>
          <w:trHeight w:val="237"/>
        </w:trPr>
        <w:tc>
          <w:tcPr>
            <w:tcW w:w="20" w:type="dxa"/>
            <w:vAlign w:val="bottom"/>
            <w:tcBorders>
              <w:bottom w:val="single" w:sz="8" w:color="0000EE"/>
            </w:tcBorders>
          </w:tcPr>
          <w:p>
            <w:pPr>
              <w:spacing w:after="0"/>
              <w:rPr>
                <w:sz w:val="20"/>
                <w:szCs w:val="20"/>
                <w:color w:val="auto"/>
              </w:rPr>
            </w:pPr>
          </w:p>
        </w:tc>
        <w:tc>
          <w:tcPr>
            <w:tcW w:w="1480" w:type="dxa"/>
            <w:vAlign w:val="bottom"/>
            <w:tcBorders>
              <w:bottom w:val="single" w:sz="8" w:color="0000EE"/>
            </w:tcBorders>
            <w:gridSpan w:val="5"/>
            <w:shd w:val="clear" w:color="auto" w:fill="CCEEFF"/>
          </w:tcPr>
          <w:p>
            <w:pPr>
              <w:spacing w:after="0"/>
              <w:rPr>
                <w:rFonts w:ascii="Arial" w:cs="Arial" w:eastAsia="Arial" w:hAnsi="Arial"/>
                <w:sz w:val="17"/>
                <w:szCs w:val="17"/>
                <w:color w:val="0000EE"/>
                <w:w w:val="89"/>
              </w:rPr>
            </w:pPr>
            <w:hyperlink w:anchor="page7">
              <w:r>
                <w:rPr>
                  <w:rFonts w:ascii="Arial" w:cs="Arial" w:eastAsia="Arial" w:hAnsi="Arial"/>
                  <w:sz w:val="17"/>
                  <w:szCs w:val="17"/>
                  <w:color w:val="0000EE"/>
                  <w:w w:val="89"/>
                </w:rPr>
                <w:t>USE OF PROCEEDS</w:t>
              </w:r>
            </w:hyperlink>
          </w:p>
        </w:tc>
        <w:tc>
          <w:tcPr>
            <w:tcW w:w="4500" w:type="dxa"/>
            <w:vAlign w:val="bottom"/>
            <w:tcBorders>
              <w:bottom w:val="single" w:sz="8" w:color="CCEEFF"/>
            </w:tcBorders>
            <w:gridSpan w:val="13"/>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spacing w:after="0"/>
              <w:rPr>
                <w:sz w:val="20"/>
                <w:szCs w:val="20"/>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7"/>
                <w:szCs w:val="17"/>
                <w:color w:val="0000EE"/>
                <w:w w:val="84"/>
              </w:rPr>
            </w:pPr>
            <w:hyperlink w:anchor="page7">
              <w:r>
                <w:rPr>
                  <w:rFonts w:ascii="Arial" w:cs="Arial" w:eastAsia="Arial" w:hAnsi="Arial"/>
                  <w:sz w:val="17"/>
                  <w:szCs w:val="17"/>
                  <w:color w:val="0000EE"/>
                  <w:w w:val="84"/>
                </w:rPr>
                <w:t>5</w:t>
              </w:r>
            </w:hyperlink>
          </w:p>
        </w:tc>
        <w:tc>
          <w:tcPr>
            <w:tcW w:w="0" w:type="dxa"/>
            <w:vAlign w:val="bottom"/>
          </w:tcPr>
          <w:p>
            <w:pPr>
              <w:spacing w:after="0"/>
              <w:rPr>
                <w:sz w:val="1"/>
                <w:szCs w:val="1"/>
                <w:color w:val="auto"/>
              </w:rPr>
            </w:pPr>
          </w:p>
        </w:tc>
      </w:tr>
      <w:tr>
        <w:trPr>
          <w:trHeight w:val="219"/>
        </w:trPr>
        <w:tc>
          <w:tcPr>
            <w:tcW w:w="2880" w:type="dxa"/>
            <w:vAlign w:val="bottom"/>
            <w:tcBorders>
              <w:bottom w:val="single" w:sz="8" w:color="0000EE"/>
            </w:tcBorders>
            <w:gridSpan w:val="15"/>
          </w:tcPr>
          <w:p>
            <w:pPr>
              <w:spacing w:after="0"/>
              <w:rPr>
                <w:rFonts w:ascii="Arial" w:cs="Arial" w:eastAsia="Arial" w:hAnsi="Arial"/>
                <w:sz w:val="17"/>
                <w:szCs w:val="17"/>
                <w:color w:val="0000EE"/>
                <w:w w:val="94"/>
              </w:rPr>
            </w:pPr>
            <w:hyperlink w:anchor="page8">
              <w:r>
                <w:rPr>
                  <w:rFonts w:ascii="Arial" w:cs="Arial" w:eastAsia="Arial" w:hAnsi="Arial"/>
                  <w:sz w:val="17"/>
                  <w:szCs w:val="17"/>
                  <w:color w:val="0000EE"/>
                  <w:w w:val="94"/>
                </w:rPr>
                <w:t>DESCRIPTION OF DEBT SECURITIES</w:t>
              </w:r>
            </w:hyperlink>
          </w:p>
        </w:tc>
        <w:tc>
          <w:tcPr>
            <w:tcW w:w="3120" w:type="dxa"/>
            <w:vAlign w:val="bottom"/>
            <w:gridSpan w:val="4"/>
          </w:tcPr>
          <w:p>
            <w:pPr>
              <w:spacing w:after="0"/>
              <w:rPr>
                <w:sz w:val="19"/>
                <w:szCs w:val="19"/>
                <w:color w:val="auto"/>
              </w:rPr>
            </w:pPr>
          </w:p>
        </w:tc>
        <w:tc>
          <w:tcPr>
            <w:tcW w:w="1440" w:type="dxa"/>
            <w:vAlign w:val="bottom"/>
            <w:gridSpan w:val="2"/>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7"/>
                <w:szCs w:val="17"/>
                <w:color w:val="0000EE"/>
                <w:w w:val="84"/>
              </w:rPr>
            </w:pPr>
            <w:hyperlink w:anchor="page8">
              <w:r>
                <w:rPr>
                  <w:rFonts w:ascii="Arial" w:cs="Arial" w:eastAsia="Arial" w:hAnsi="Arial"/>
                  <w:sz w:val="17"/>
                  <w:szCs w:val="17"/>
                  <w:color w:val="0000EE"/>
                  <w:w w:val="84"/>
                </w:rPr>
                <w:t>6</w:t>
              </w:r>
            </w:hyperlink>
          </w:p>
        </w:tc>
        <w:tc>
          <w:tcPr>
            <w:tcW w:w="0" w:type="dxa"/>
            <w:vAlign w:val="bottom"/>
          </w:tcPr>
          <w:p>
            <w:pPr>
              <w:spacing w:after="0"/>
              <w:rPr>
                <w:sz w:val="1"/>
                <w:szCs w:val="1"/>
                <w:color w:val="auto"/>
              </w:rPr>
            </w:pPr>
          </w:p>
        </w:tc>
      </w:tr>
      <w:tr>
        <w:trPr>
          <w:trHeight w:val="237"/>
        </w:trPr>
        <w:tc>
          <w:tcPr>
            <w:tcW w:w="20" w:type="dxa"/>
            <w:vAlign w:val="bottom"/>
            <w:tcBorders>
              <w:bottom w:val="single" w:sz="8" w:color="0000EE"/>
            </w:tcBorders>
          </w:tcPr>
          <w:p>
            <w:pPr>
              <w:spacing w:after="0"/>
              <w:rPr>
                <w:sz w:val="20"/>
                <w:szCs w:val="20"/>
                <w:color w:val="auto"/>
              </w:rPr>
            </w:pPr>
          </w:p>
        </w:tc>
        <w:tc>
          <w:tcPr>
            <w:tcW w:w="2700" w:type="dxa"/>
            <w:vAlign w:val="bottom"/>
            <w:tcBorders>
              <w:bottom w:val="single" w:sz="8" w:color="0000EE"/>
            </w:tcBorders>
            <w:gridSpan w:val="12"/>
            <w:shd w:val="clear" w:color="auto" w:fill="CCEEFF"/>
          </w:tcPr>
          <w:p>
            <w:pPr>
              <w:spacing w:after="0"/>
              <w:rPr>
                <w:rFonts w:ascii="Arial" w:cs="Arial" w:eastAsia="Arial" w:hAnsi="Arial"/>
                <w:sz w:val="17"/>
                <w:szCs w:val="17"/>
                <w:color w:val="0000EE"/>
                <w:w w:val="94"/>
              </w:rPr>
            </w:pPr>
            <w:hyperlink w:anchor="page17">
              <w:r>
                <w:rPr>
                  <w:rFonts w:ascii="Arial" w:cs="Arial" w:eastAsia="Arial" w:hAnsi="Arial"/>
                  <w:sz w:val="17"/>
                  <w:szCs w:val="17"/>
                  <w:color w:val="0000EE"/>
                  <w:w w:val="94"/>
                </w:rPr>
                <w:t>DESCRIPTION OF CAPITAL STOCK</w:t>
              </w:r>
            </w:hyperlink>
          </w:p>
        </w:tc>
        <w:tc>
          <w:tcPr>
            <w:tcW w:w="3280" w:type="dxa"/>
            <w:vAlign w:val="bottom"/>
            <w:tcBorders>
              <w:bottom w:val="single" w:sz="8" w:color="CCEEFF"/>
            </w:tcBorders>
            <w:gridSpan w:val="6"/>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7"/>
                <w:szCs w:val="17"/>
                <w:color w:val="0000EE"/>
                <w:w w:val="84"/>
              </w:rPr>
            </w:pPr>
            <w:hyperlink w:anchor="page17">
              <w:r>
                <w:rPr>
                  <w:rFonts w:ascii="Arial" w:cs="Arial" w:eastAsia="Arial" w:hAnsi="Arial"/>
                  <w:sz w:val="17"/>
                  <w:szCs w:val="17"/>
                  <w:color w:val="0000EE"/>
                  <w:w w:val="84"/>
                </w:rPr>
                <w:t>15</w:t>
              </w:r>
            </w:hyperlink>
          </w:p>
        </w:tc>
        <w:tc>
          <w:tcPr>
            <w:tcW w:w="0" w:type="dxa"/>
            <w:vAlign w:val="bottom"/>
          </w:tcPr>
          <w:p>
            <w:pPr>
              <w:spacing w:after="0"/>
              <w:rPr>
                <w:sz w:val="1"/>
                <w:szCs w:val="1"/>
                <w:color w:val="auto"/>
              </w:rPr>
            </w:pPr>
          </w:p>
        </w:tc>
      </w:tr>
      <w:tr>
        <w:trPr>
          <w:trHeight w:val="211"/>
        </w:trPr>
        <w:tc>
          <w:tcPr>
            <w:tcW w:w="6000" w:type="dxa"/>
            <w:vAlign w:val="bottom"/>
            <w:gridSpan w:val="19"/>
          </w:tcPr>
          <w:p>
            <w:pPr>
              <w:spacing w:after="0"/>
              <w:rPr>
                <w:rFonts w:ascii="Arial" w:cs="Arial" w:eastAsia="Arial" w:hAnsi="Arial"/>
                <w:sz w:val="17"/>
                <w:szCs w:val="17"/>
                <w:color w:val="0000EE"/>
              </w:rPr>
            </w:pPr>
            <w:hyperlink w:anchor="page24">
              <w:r>
                <w:rPr>
                  <w:rFonts w:ascii="Arial" w:cs="Arial" w:eastAsia="Arial" w:hAnsi="Arial"/>
                  <w:sz w:val="17"/>
                  <w:szCs w:val="17"/>
                  <w:color w:val="0000EE"/>
                </w:rPr>
                <w:t>DESCRIPTION OF WARRANTS</w:t>
              </w:r>
            </w:hyperlink>
          </w:p>
        </w:tc>
        <w:tc>
          <w:tcPr>
            <w:tcW w:w="1540" w:type="dxa"/>
            <w:vAlign w:val="bottom"/>
            <w:gridSpan w:val="3"/>
          </w:tcPr>
          <w:p>
            <w:pPr>
              <w:jc w:val="right"/>
              <w:spacing w:after="0"/>
              <w:rPr>
                <w:rFonts w:ascii="Arial" w:cs="Arial" w:eastAsia="Arial" w:hAnsi="Arial"/>
                <w:sz w:val="17"/>
                <w:szCs w:val="17"/>
                <w:color w:val="0000EE"/>
              </w:rPr>
            </w:pPr>
            <w:hyperlink w:anchor="page24">
              <w:r>
                <w:rPr>
                  <w:rFonts w:ascii="Arial" w:cs="Arial" w:eastAsia="Arial" w:hAnsi="Arial"/>
                  <w:sz w:val="17"/>
                  <w:szCs w:val="17"/>
                  <w:color w:val="0000EE"/>
                </w:rPr>
                <w:t>22</w:t>
              </w:r>
            </w:hyperlink>
          </w:p>
        </w:tc>
        <w:tc>
          <w:tcPr>
            <w:tcW w:w="0" w:type="dxa"/>
            <w:vAlign w:val="bottom"/>
          </w:tcPr>
          <w:p>
            <w:pPr>
              <w:spacing w:after="0"/>
              <w:rPr>
                <w:sz w:val="1"/>
                <w:szCs w:val="1"/>
                <w:color w:val="auto"/>
              </w:rPr>
            </w:pPr>
          </w:p>
        </w:tc>
      </w:tr>
      <w:tr>
        <w:trPr>
          <w:trHeight w:val="29"/>
        </w:trPr>
        <w:tc>
          <w:tcPr>
            <w:tcW w:w="2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gridSpan w:val="18"/>
            <w:shd w:val="clear" w:color="auto" w:fill="CCEEFF"/>
          </w:tcPr>
          <w:p>
            <w:pPr>
              <w:spacing w:after="0"/>
              <w:rPr>
                <w:rFonts w:ascii="Arial" w:cs="Arial" w:eastAsia="Arial" w:hAnsi="Arial"/>
                <w:sz w:val="17"/>
                <w:szCs w:val="17"/>
                <w:color w:val="0000EE"/>
              </w:rPr>
            </w:pPr>
            <w:hyperlink w:anchor="page25">
              <w:r>
                <w:rPr>
                  <w:rFonts w:ascii="Arial" w:cs="Arial" w:eastAsia="Arial" w:hAnsi="Arial"/>
                  <w:sz w:val="17"/>
                  <w:szCs w:val="17"/>
                  <w:color w:val="0000EE"/>
                </w:rPr>
                <w:t>DESCRIPTION OF SUBSCRIPTION RIGHTS</w:t>
              </w:r>
            </w:hyperlink>
          </w:p>
        </w:tc>
        <w:tc>
          <w:tcPr>
            <w:tcW w:w="1540" w:type="dxa"/>
            <w:vAlign w:val="bottom"/>
            <w:gridSpan w:val="3"/>
            <w:shd w:val="clear" w:color="auto" w:fill="CCEEFF"/>
          </w:tcPr>
          <w:p>
            <w:pPr>
              <w:jc w:val="right"/>
              <w:spacing w:after="0"/>
              <w:rPr>
                <w:rFonts w:ascii="Arial" w:cs="Arial" w:eastAsia="Arial" w:hAnsi="Arial"/>
                <w:sz w:val="17"/>
                <w:szCs w:val="17"/>
                <w:color w:val="0000EE"/>
              </w:rPr>
            </w:pPr>
            <w:hyperlink w:anchor="page25">
              <w:r>
                <w:rPr>
                  <w:rFonts w:ascii="Arial" w:cs="Arial" w:eastAsia="Arial" w:hAnsi="Arial"/>
                  <w:sz w:val="17"/>
                  <w:szCs w:val="17"/>
                  <w:color w:val="0000EE"/>
                </w:rPr>
                <w:t>23</w:t>
              </w:r>
            </w:hyperlink>
          </w:p>
        </w:tc>
        <w:tc>
          <w:tcPr>
            <w:tcW w:w="0" w:type="dxa"/>
            <w:vAlign w:val="bottom"/>
          </w:tcPr>
          <w:p>
            <w:pPr>
              <w:spacing w:after="0"/>
              <w:rPr>
                <w:sz w:val="1"/>
                <w:szCs w:val="1"/>
                <w:color w:val="auto"/>
              </w:rPr>
            </w:pPr>
          </w:p>
        </w:tc>
      </w:tr>
      <w:tr>
        <w:trPr>
          <w:trHeight w:val="219"/>
        </w:trPr>
        <w:tc>
          <w:tcPr>
            <w:tcW w:w="3280" w:type="dxa"/>
            <w:vAlign w:val="bottom"/>
            <w:tcBorders>
              <w:top w:val="single" w:sz="8" w:color="0000EE"/>
            </w:tcBorders>
            <w:gridSpan w:val="17"/>
          </w:tcPr>
          <w:p>
            <w:pPr>
              <w:spacing w:after="0"/>
              <w:rPr>
                <w:rFonts w:ascii="Arial" w:cs="Arial" w:eastAsia="Arial" w:hAnsi="Arial"/>
                <w:sz w:val="17"/>
                <w:szCs w:val="17"/>
                <w:color w:val="0000EE"/>
                <w:w w:val="97"/>
              </w:rPr>
            </w:pPr>
            <w:hyperlink w:anchor="page26">
              <w:r>
                <w:rPr>
                  <w:rFonts w:ascii="Arial" w:cs="Arial" w:eastAsia="Arial" w:hAnsi="Arial"/>
                  <w:sz w:val="17"/>
                  <w:szCs w:val="17"/>
                  <w:color w:val="0000EE"/>
                  <w:w w:val="97"/>
                </w:rPr>
                <w:t>DESCRIPTION OF DEPOSITARY SHARES</w:t>
              </w:r>
            </w:hyperlink>
          </w:p>
        </w:tc>
        <w:tc>
          <w:tcPr>
            <w:tcW w:w="2720" w:type="dxa"/>
            <w:vAlign w:val="bottom"/>
            <w:tcBorders>
              <w:top w:val="single" w:sz="8" w:color="CCEEFF"/>
            </w:tcBorders>
            <w:gridSpan w:val="2"/>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180" w:type="dxa"/>
            <w:vAlign w:val="bottom"/>
            <w:tcBorders>
              <w:top w:val="single" w:sz="8" w:color="0000EE"/>
            </w:tcBorders>
            <w:gridSpan w:val="2"/>
          </w:tcPr>
          <w:p>
            <w:pPr>
              <w:jc w:val="right"/>
              <w:spacing w:after="0"/>
              <w:rPr>
                <w:rFonts w:ascii="Arial" w:cs="Arial" w:eastAsia="Arial" w:hAnsi="Arial"/>
                <w:sz w:val="17"/>
                <w:szCs w:val="17"/>
                <w:color w:val="0000EE"/>
                <w:w w:val="84"/>
              </w:rPr>
            </w:pPr>
            <w:hyperlink w:anchor="page26">
              <w:r>
                <w:rPr>
                  <w:rFonts w:ascii="Arial" w:cs="Arial" w:eastAsia="Arial" w:hAnsi="Arial"/>
                  <w:sz w:val="17"/>
                  <w:szCs w:val="17"/>
                  <w:color w:val="0000EE"/>
                  <w:w w:val="84"/>
                </w:rPr>
                <w:t>24</w:t>
              </w:r>
            </w:hyperlink>
          </w:p>
        </w:tc>
        <w:tc>
          <w:tcPr>
            <w:tcW w:w="0" w:type="dxa"/>
            <w:vAlign w:val="bottom"/>
          </w:tcPr>
          <w:p>
            <w:pPr>
              <w:spacing w:after="0"/>
              <w:rPr>
                <w:sz w:val="1"/>
                <w:szCs w:val="1"/>
                <w:color w:val="auto"/>
              </w:rPr>
            </w:pPr>
          </w:p>
        </w:tc>
      </w:tr>
      <w:tr>
        <w:trPr>
          <w:trHeight w:val="237"/>
        </w:trPr>
        <w:tc>
          <w:tcPr>
            <w:tcW w:w="20" w:type="dxa"/>
            <w:vAlign w:val="bottom"/>
            <w:tcBorders>
              <w:top w:val="single" w:sz="8" w:color="0000EE"/>
              <w:bottom w:val="single" w:sz="8" w:color="0000EE"/>
            </w:tcBorders>
          </w:tcPr>
          <w:p>
            <w:pPr>
              <w:spacing w:after="0"/>
              <w:rPr>
                <w:sz w:val="20"/>
                <w:szCs w:val="20"/>
                <w:color w:val="auto"/>
              </w:rPr>
            </w:pPr>
          </w:p>
        </w:tc>
        <w:tc>
          <w:tcPr>
            <w:tcW w:w="1900" w:type="dxa"/>
            <w:vAlign w:val="bottom"/>
            <w:tcBorders>
              <w:top w:val="single" w:sz="8" w:color="0000EE"/>
              <w:bottom w:val="single" w:sz="8" w:color="0000EE"/>
            </w:tcBorders>
            <w:gridSpan w:val="7"/>
            <w:shd w:val="clear" w:color="auto" w:fill="CCEEFF"/>
          </w:tcPr>
          <w:p>
            <w:pPr>
              <w:spacing w:after="0"/>
              <w:rPr>
                <w:rFonts w:ascii="Arial" w:cs="Arial" w:eastAsia="Arial" w:hAnsi="Arial"/>
                <w:sz w:val="17"/>
                <w:szCs w:val="17"/>
                <w:color w:val="0000EE"/>
                <w:w w:val="93"/>
              </w:rPr>
            </w:pPr>
            <w:hyperlink w:anchor="page29">
              <w:r>
                <w:rPr>
                  <w:rFonts w:ascii="Arial" w:cs="Arial" w:eastAsia="Arial" w:hAnsi="Arial"/>
                  <w:sz w:val="17"/>
                  <w:szCs w:val="17"/>
                  <w:color w:val="0000EE"/>
                  <w:w w:val="93"/>
                </w:rPr>
                <w:t>DESCRIPTION OF UNITS</w:t>
              </w:r>
            </w:hyperlink>
          </w:p>
        </w:tc>
        <w:tc>
          <w:tcPr>
            <w:tcW w:w="1220" w:type="dxa"/>
            <w:vAlign w:val="bottom"/>
            <w:tcBorders>
              <w:top w:val="single" w:sz="8" w:color="0000EE"/>
              <w:bottom w:val="single" w:sz="8" w:color="CCEEFF"/>
            </w:tcBorders>
            <w:gridSpan w:val="8"/>
            <w:shd w:val="clear" w:color="auto" w:fill="CCEEFF"/>
          </w:tcPr>
          <w:p>
            <w:pPr>
              <w:spacing w:after="0"/>
              <w:rPr>
                <w:sz w:val="20"/>
                <w:szCs w:val="20"/>
                <w:color w:val="auto"/>
              </w:rPr>
            </w:pPr>
          </w:p>
        </w:tc>
        <w:tc>
          <w:tcPr>
            <w:tcW w:w="2860" w:type="dxa"/>
            <w:vAlign w:val="bottom"/>
            <w:tcBorders>
              <w:bottom w:val="single" w:sz="8" w:color="CCEEFF"/>
            </w:tcBorders>
            <w:gridSpan w:val="3"/>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top w:val="single" w:sz="8" w:color="0000EE"/>
              <w:bottom w:val="single" w:sz="8" w:color="0000EE"/>
            </w:tcBorders>
            <w:gridSpan w:val="2"/>
            <w:shd w:val="clear" w:color="auto" w:fill="CCEEFF"/>
          </w:tcPr>
          <w:p>
            <w:pPr>
              <w:jc w:val="right"/>
              <w:spacing w:after="0"/>
              <w:rPr>
                <w:rFonts w:ascii="Arial" w:cs="Arial" w:eastAsia="Arial" w:hAnsi="Arial"/>
                <w:sz w:val="17"/>
                <w:szCs w:val="17"/>
                <w:color w:val="0000EE"/>
                <w:w w:val="84"/>
              </w:rPr>
            </w:pPr>
            <w:hyperlink w:anchor="page29">
              <w:r>
                <w:rPr>
                  <w:rFonts w:ascii="Arial" w:cs="Arial" w:eastAsia="Arial" w:hAnsi="Arial"/>
                  <w:sz w:val="17"/>
                  <w:szCs w:val="17"/>
                  <w:color w:val="0000EE"/>
                  <w:w w:val="84"/>
                </w:rPr>
                <w:t>27</w:t>
              </w:r>
            </w:hyperlink>
          </w:p>
        </w:tc>
        <w:tc>
          <w:tcPr>
            <w:tcW w:w="0" w:type="dxa"/>
            <w:vAlign w:val="bottom"/>
          </w:tcPr>
          <w:p>
            <w:pPr>
              <w:spacing w:after="0"/>
              <w:rPr>
                <w:sz w:val="1"/>
                <w:szCs w:val="1"/>
                <w:color w:val="auto"/>
              </w:rPr>
            </w:pPr>
          </w:p>
        </w:tc>
      </w:tr>
      <w:tr>
        <w:trPr>
          <w:trHeight w:val="211"/>
        </w:trPr>
        <w:tc>
          <w:tcPr>
            <w:tcW w:w="6000" w:type="dxa"/>
            <w:vAlign w:val="bottom"/>
            <w:gridSpan w:val="19"/>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FORMS OF SECURITIES</w:t>
              </w:r>
            </w:hyperlink>
          </w:p>
        </w:tc>
        <w:tc>
          <w:tcPr>
            <w:tcW w:w="1540" w:type="dxa"/>
            <w:vAlign w:val="bottom"/>
            <w:gridSpan w:val="3"/>
          </w:tcPr>
          <w:p>
            <w:pPr>
              <w:jc w:val="right"/>
              <w:spacing w:after="0"/>
              <w:rPr>
                <w:rFonts w:ascii="Arial" w:cs="Arial" w:eastAsia="Arial" w:hAnsi="Arial"/>
                <w:sz w:val="17"/>
                <w:szCs w:val="17"/>
                <w:color w:val="0000EE"/>
              </w:rPr>
            </w:pPr>
            <w:hyperlink w:anchor="page30">
              <w:r>
                <w:rPr>
                  <w:rFonts w:ascii="Arial" w:cs="Arial" w:eastAsia="Arial" w:hAnsi="Arial"/>
                  <w:sz w:val="17"/>
                  <w:szCs w:val="17"/>
                  <w:color w:val="0000EE"/>
                </w:rPr>
                <w:t>28</w:t>
              </w:r>
            </w:hyperlink>
          </w:p>
        </w:tc>
        <w:tc>
          <w:tcPr>
            <w:tcW w:w="0" w:type="dxa"/>
            <w:vAlign w:val="bottom"/>
          </w:tcPr>
          <w:p>
            <w:pPr>
              <w:spacing w:after="0"/>
              <w:rPr>
                <w:sz w:val="1"/>
                <w:szCs w:val="1"/>
                <w:color w:val="auto"/>
              </w:rPr>
            </w:pPr>
          </w:p>
        </w:tc>
      </w:tr>
      <w:tr>
        <w:trPr>
          <w:trHeight w:val="29"/>
        </w:trPr>
        <w:tc>
          <w:tcPr>
            <w:tcW w:w="2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0000EE"/>
            </w:tcBorders>
          </w:tcPr>
          <w:p>
            <w:pPr>
              <w:spacing w:after="0"/>
              <w:rPr>
                <w:sz w:val="20"/>
                <w:szCs w:val="20"/>
                <w:color w:val="auto"/>
              </w:rPr>
            </w:pPr>
          </w:p>
        </w:tc>
        <w:tc>
          <w:tcPr>
            <w:tcW w:w="1920" w:type="dxa"/>
            <w:vAlign w:val="bottom"/>
            <w:tcBorders>
              <w:bottom w:val="single" w:sz="8" w:color="0000EE"/>
            </w:tcBorders>
            <w:gridSpan w:val="8"/>
            <w:shd w:val="clear" w:color="auto" w:fill="CCEEFF"/>
          </w:tcPr>
          <w:p>
            <w:pPr>
              <w:spacing w:after="0"/>
              <w:rPr>
                <w:rFonts w:ascii="Arial" w:cs="Arial" w:eastAsia="Arial" w:hAnsi="Arial"/>
                <w:sz w:val="17"/>
                <w:szCs w:val="17"/>
                <w:color w:val="0000EE"/>
                <w:w w:val="96"/>
              </w:rPr>
            </w:pPr>
            <w:hyperlink w:anchor="page32">
              <w:r>
                <w:rPr>
                  <w:rFonts w:ascii="Arial" w:cs="Arial" w:eastAsia="Arial" w:hAnsi="Arial"/>
                  <w:sz w:val="17"/>
                  <w:szCs w:val="17"/>
                  <w:color w:val="0000EE"/>
                  <w:w w:val="96"/>
                </w:rPr>
                <w:t>PLAN OF DISTRIBUTION</w:t>
              </w:r>
            </w:hyperlink>
          </w:p>
        </w:tc>
        <w:tc>
          <w:tcPr>
            <w:tcW w:w="4060" w:type="dxa"/>
            <w:vAlign w:val="bottom"/>
            <w:tcBorders>
              <w:bottom w:val="single" w:sz="8" w:color="CCEEFF"/>
            </w:tcBorders>
            <w:gridSpan w:val="10"/>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7"/>
                <w:szCs w:val="17"/>
                <w:color w:val="0000EE"/>
                <w:w w:val="84"/>
              </w:rPr>
            </w:pPr>
            <w:hyperlink w:anchor="page32">
              <w:r>
                <w:rPr>
                  <w:rFonts w:ascii="Arial" w:cs="Arial" w:eastAsia="Arial" w:hAnsi="Arial"/>
                  <w:sz w:val="17"/>
                  <w:szCs w:val="17"/>
                  <w:color w:val="0000EE"/>
                  <w:w w:val="84"/>
                </w:rPr>
                <w:t>30</w:t>
              </w:r>
            </w:hyperlink>
          </w:p>
        </w:tc>
        <w:tc>
          <w:tcPr>
            <w:tcW w:w="0" w:type="dxa"/>
            <w:vAlign w:val="bottom"/>
          </w:tcPr>
          <w:p>
            <w:pPr>
              <w:spacing w:after="0"/>
              <w:rPr>
                <w:sz w:val="1"/>
                <w:szCs w:val="1"/>
                <w:color w:val="auto"/>
              </w:rPr>
            </w:pPr>
          </w:p>
        </w:tc>
      </w:tr>
      <w:tr>
        <w:trPr>
          <w:trHeight w:val="219"/>
        </w:trPr>
        <w:tc>
          <w:tcPr>
            <w:tcW w:w="1380" w:type="dxa"/>
            <w:vAlign w:val="bottom"/>
            <w:tcBorders>
              <w:bottom w:val="single" w:sz="8" w:color="0000EE"/>
            </w:tcBorders>
            <w:gridSpan w:val="5"/>
          </w:tcPr>
          <w:p>
            <w:pPr>
              <w:spacing w:after="0"/>
              <w:rPr>
                <w:rFonts w:ascii="Arial" w:cs="Arial" w:eastAsia="Arial" w:hAnsi="Arial"/>
                <w:sz w:val="17"/>
                <w:szCs w:val="17"/>
                <w:color w:val="0000EE"/>
                <w:w w:val="96"/>
              </w:rPr>
            </w:pPr>
            <w:hyperlink w:anchor="page34">
              <w:r>
                <w:rPr>
                  <w:rFonts w:ascii="Arial" w:cs="Arial" w:eastAsia="Arial" w:hAnsi="Arial"/>
                  <w:sz w:val="17"/>
                  <w:szCs w:val="17"/>
                  <w:color w:val="0000EE"/>
                  <w:w w:val="96"/>
                </w:rPr>
                <w:t>LEGAL MATTERS</w:t>
              </w:r>
            </w:hyperlink>
          </w:p>
        </w:tc>
        <w:tc>
          <w:tcPr>
            <w:tcW w:w="4620" w:type="dxa"/>
            <w:vAlign w:val="bottom"/>
            <w:gridSpan w:val="14"/>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Borders>
              <w:bottom w:val="single" w:sz="8" w:color="0000EE"/>
            </w:tcBorders>
            <w:gridSpan w:val="2"/>
          </w:tcPr>
          <w:p>
            <w:pPr>
              <w:jc w:val="right"/>
              <w:spacing w:after="0"/>
              <w:rPr>
                <w:rFonts w:ascii="Arial" w:cs="Arial" w:eastAsia="Arial" w:hAnsi="Arial"/>
                <w:sz w:val="17"/>
                <w:szCs w:val="17"/>
                <w:color w:val="0000EE"/>
                <w:w w:val="84"/>
              </w:rPr>
            </w:pPr>
            <w:hyperlink w:anchor="page34">
              <w:r>
                <w:rPr>
                  <w:rFonts w:ascii="Arial" w:cs="Arial" w:eastAsia="Arial" w:hAnsi="Arial"/>
                  <w:sz w:val="17"/>
                  <w:szCs w:val="17"/>
                  <w:color w:val="0000EE"/>
                  <w:w w:val="84"/>
                </w:rPr>
                <w:t>32</w:t>
              </w:r>
            </w:hyperlink>
          </w:p>
        </w:tc>
        <w:tc>
          <w:tcPr>
            <w:tcW w:w="0" w:type="dxa"/>
            <w:vAlign w:val="bottom"/>
          </w:tcPr>
          <w:p>
            <w:pPr>
              <w:spacing w:after="0"/>
              <w:rPr>
                <w:sz w:val="1"/>
                <w:szCs w:val="1"/>
                <w:color w:val="auto"/>
              </w:rPr>
            </w:pPr>
          </w:p>
        </w:tc>
      </w:tr>
      <w:tr>
        <w:trPr>
          <w:trHeight w:val="237"/>
        </w:trPr>
        <w:tc>
          <w:tcPr>
            <w:tcW w:w="20" w:type="dxa"/>
            <w:vAlign w:val="bottom"/>
            <w:tcBorders>
              <w:bottom w:val="single" w:sz="8" w:color="0000EE"/>
            </w:tcBorders>
          </w:tcPr>
          <w:p>
            <w:pPr>
              <w:spacing w:after="0"/>
              <w:rPr>
                <w:sz w:val="20"/>
                <w:szCs w:val="20"/>
                <w:color w:val="auto"/>
              </w:rPr>
            </w:pPr>
          </w:p>
        </w:tc>
        <w:tc>
          <w:tcPr>
            <w:tcW w:w="700" w:type="dxa"/>
            <w:vAlign w:val="bottom"/>
            <w:tcBorders>
              <w:bottom w:val="single" w:sz="8" w:color="0000EE"/>
            </w:tcBorders>
            <w:shd w:val="clear" w:color="auto" w:fill="CCEEFF"/>
          </w:tcPr>
          <w:p>
            <w:pPr>
              <w:spacing w:after="0"/>
              <w:rPr>
                <w:rFonts w:ascii="Arial" w:cs="Arial" w:eastAsia="Arial" w:hAnsi="Arial"/>
                <w:sz w:val="17"/>
                <w:szCs w:val="17"/>
                <w:color w:val="0000EE"/>
                <w:w w:val="85"/>
              </w:rPr>
            </w:pPr>
            <w:hyperlink w:anchor="page34">
              <w:r>
                <w:rPr>
                  <w:rFonts w:ascii="Arial" w:cs="Arial" w:eastAsia="Arial" w:hAnsi="Arial"/>
                  <w:sz w:val="17"/>
                  <w:szCs w:val="17"/>
                  <w:color w:val="0000EE"/>
                  <w:w w:val="85"/>
                </w:rPr>
                <w:t>EXPERTS</w:t>
              </w:r>
            </w:hyperlink>
          </w:p>
        </w:tc>
        <w:tc>
          <w:tcPr>
            <w:tcW w:w="5280" w:type="dxa"/>
            <w:vAlign w:val="bottom"/>
            <w:tcBorders>
              <w:bottom w:val="single" w:sz="8" w:color="CCEEFF"/>
            </w:tcBorders>
            <w:gridSpan w:val="17"/>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7"/>
                <w:szCs w:val="17"/>
                <w:color w:val="0000EE"/>
                <w:w w:val="84"/>
              </w:rPr>
            </w:pPr>
            <w:hyperlink w:anchor="page34">
              <w:r>
                <w:rPr>
                  <w:rFonts w:ascii="Arial" w:cs="Arial" w:eastAsia="Arial" w:hAnsi="Arial"/>
                  <w:sz w:val="17"/>
                  <w:szCs w:val="17"/>
                  <w:color w:val="0000EE"/>
                  <w:w w:val="84"/>
                </w:rPr>
                <w:t>32</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4618355</wp:posOffset>
            </wp:positionV>
            <wp:extent cx="627126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71260" cy="41275"/>
                    </a:xfrm>
                    <a:prstGeom prst="rect">
                      <a:avLst/>
                    </a:prstGeom>
                    <a:noFill/>
                  </pic:spPr>
                </pic:pic>
              </a:graphicData>
            </a:graphic>
          </wp:anchor>
        </w:drawing>
      </w:r>
    </w:p>
    <w:p>
      <w:pPr>
        <w:sectPr>
          <w:pgSz w:w="11900" w:h="16838" w:orient="portrait"/>
          <w:cols w:equalWidth="0" w:num="1">
            <w:col w:w="9439"/>
          </w:cols>
          <w:pgMar w:left="1020" w:top="131" w:right="1440" w:bottom="1440" w:gutter="0" w:footer="0" w:header="0"/>
        </w:sectPr>
      </w:pPr>
    </w:p>
    <w:bookmarkStart w:id="3" w:name="page4"/>
    <w:bookmarkEnd w:id="3"/>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400"/>
        <w:spacing w:after="0"/>
        <w:rPr>
          <w:sz w:val="20"/>
          <w:szCs w:val="20"/>
          <w:color w:val="auto"/>
        </w:rPr>
      </w:pPr>
      <w:r>
        <w:rPr>
          <w:rFonts w:ascii="Arial" w:cs="Arial" w:eastAsia="Arial" w:hAnsi="Arial"/>
          <w:sz w:val="17"/>
          <w:szCs w:val="17"/>
          <w:b w:val="1"/>
          <w:bCs w:val="1"/>
          <w:color w:val="auto"/>
        </w:rPr>
        <w:t>ABOUT THIS PROSPECTUS</w:t>
      </w:r>
    </w:p>
    <w:p>
      <w:pPr>
        <w:spacing w:after="0" w:line="131" w:lineRule="exact"/>
        <w:rPr>
          <w:sz w:val="20"/>
          <w:szCs w:val="20"/>
          <w:color w:val="auto"/>
        </w:rPr>
      </w:pPr>
    </w:p>
    <w:p>
      <w:pPr>
        <w:jc w:val="both"/>
        <w:ind w:left="1160" w:right="1219" w:firstLine="331"/>
        <w:spacing w:after="0" w:line="249"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which we refer to as the “SEC,” utilizing a “shelf” registration process. Under this shelf registration process, we may from time to time sell any combination of the securities described in this prospectus in one or more offerings.</w:t>
      </w:r>
    </w:p>
    <w:p>
      <w:pPr>
        <w:spacing w:after="0" w:line="119" w:lineRule="exact"/>
        <w:rPr>
          <w:sz w:val="20"/>
          <w:szCs w:val="20"/>
          <w:color w:val="auto"/>
        </w:rPr>
      </w:pPr>
    </w:p>
    <w:p>
      <w:pPr>
        <w:ind w:left="1160" w:right="959" w:firstLine="331"/>
        <w:spacing w:after="0" w:line="286" w:lineRule="auto"/>
        <w:rPr>
          <w:sz w:val="20"/>
          <w:szCs w:val="20"/>
          <w:color w:val="auto"/>
        </w:rPr>
      </w:pPr>
      <w:r>
        <w:rPr>
          <w:rFonts w:ascii="Arial" w:cs="Arial" w:eastAsia="Arial" w:hAnsi="Arial"/>
          <w:sz w:val="15"/>
          <w:szCs w:val="15"/>
          <w:color w:val="auto"/>
        </w:rPr>
        <w:t>This prospectus provides you with a general description of the securities we may offer.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the accompanying prospectus supplement together with the additional information described under the headings “Where You Can Find More Information” and “Incorporation by Reference” beginning on page 1 of this prospectus.</w:t>
      </w:r>
    </w:p>
    <w:p>
      <w:pPr>
        <w:spacing w:after="0" w:line="94" w:lineRule="exact"/>
        <w:rPr>
          <w:sz w:val="20"/>
          <w:szCs w:val="20"/>
          <w:color w:val="auto"/>
        </w:rPr>
      </w:pPr>
    </w:p>
    <w:p>
      <w:pPr>
        <w:ind w:left="1160" w:right="759" w:firstLine="331"/>
        <w:spacing w:after="0" w:line="281" w:lineRule="auto"/>
        <w:rPr>
          <w:sz w:val="20"/>
          <w:szCs w:val="20"/>
          <w:color w:val="auto"/>
        </w:rPr>
      </w:pPr>
      <w:r>
        <w:rPr>
          <w:rFonts w:ascii="Arial" w:cs="Arial" w:eastAsia="Arial" w:hAnsi="Arial"/>
          <w:sz w:val="15"/>
          <w:szCs w:val="15"/>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any accompanying prospectus supplement do not constitute an offer to sell or the solicitation of an offer to buy any securities other than the securities described in this prospectus or such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89" w:lineRule="exact"/>
        <w:rPr>
          <w:sz w:val="20"/>
          <w:szCs w:val="20"/>
          <w:color w:val="auto"/>
        </w:rPr>
      </w:pPr>
    </w:p>
    <w:p>
      <w:pPr>
        <w:jc w:val="both"/>
        <w:ind w:left="1160" w:right="979" w:firstLine="331"/>
        <w:spacing w:after="0" w:line="252" w:lineRule="auto"/>
        <w:rPr>
          <w:sz w:val="20"/>
          <w:szCs w:val="20"/>
          <w:color w:val="auto"/>
        </w:rPr>
      </w:pPr>
      <w:r>
        <w:rPr>
          <w:rFonts w:ascii="Arial" w:cs="Arial" w:eastAsia="Arial" w:hAnsi="Arial"/>
          <w:sz w:val="17"/>
          <w:szCs w:val="17"/>
          <w:color w:val="auto"/>
        </w:rPr>
        <w:t>Unless the context otherwise indicates, references in this prospectus to “IVERIC,” “we,” “our,” “us” and “the Company” refer, collectively, to IVERIC bio, Inc., a Delaware corporation, and its consolidated subsidiaries.</w:t>
      </w:r>
    </w:p>
    <w:p>
      <w:pPr>
        <w:spacing w:after="0" w:line="174" w:lineRule="exact"/>
        <w:rPr>
          <w:sz w:val="20"/>
          <w:szCs w:val="20"/>
          <w:color w:val="auto"/>
        </w:rPr>
      </w:pPr>
    </w:p>
    <w:p>
      <w:pPr>
        <w:jc w:val="center"/>
        <w:ind w:right="-400"/>
        <w:spacing w:after="0"/>
        <w:rPr>
          <w:sz w:val="20"/>
          <w:szCs w:val="20"/>
          <w:color w:val="auto"/>
        </w:rPr>
      </w:pPr>
      <w:r>
        <w:rPr>
          <w:rFonts w:ascii="Arial" w:cs="Arial" w:eastAsia="Arial" w:hAnsi="Arial"/>
          <w:sz w:val="17"/>
          <w:szCs w:val="17"/>
          <w:b w:val="1"/>
          <w:bCs w:val="1"/>
          <w:color w:val="auto"/>
        </w:rPr>
        <w:t>RISK FACTORS</w:t>
      </w:r>
    </w:p>
    <w:p>
      <w:pPr>
        <w:spacing w:after="0" w:line="143" w:lineRule="exact"/>
        <w:rPr>
          <w:sz w:val="20"/>
          <w:szCs w:val="20"/>
          <w:color w:val="auto"/>
        </w:rPr>
      </w:pPr>
    </w:p>
    <w:p>
      <w:pPr>
        <w:ind w:left="1160" w:right="859" w:firstLine="331"/>
        <w:spacing w:after="0" w:line="247" w:lineRule="auto"/>
        <w:rPr>
          <w:sz w:val="20"/>
          <w:szCs w:val="20"/>
          <w:color w:val="auto"/>
        </w:rPr>
      </w:pPr>
      <w:r>
        <w:rPr>
          <w:rFonts w:ascii="Arial" w:cs="Arial" w:eastAsia="Arial" w:hAnsi="Arial"/>
          <w:sz w:val="17"/>
          <w:szCs w:val="17"/>
          <w:color w:val="auto"/>
        </w:rPr>
        <w:t>Investing in our securities involves significant risks. You should carefully consider the risks and uncertainties described in this prospectus and any accompanying prospectus supplement, including the risk factors set forth in our filings with the SEC that are incorporated by reference herein, before making an investment decision pursuant to this prospectus and any accompanying prospectus supplement relating to a specific offering.</w:t>
      </w:r>
    </w:p>
    <w:p>
      <w:pPr>
        <w:spacing w:after="0" w:line="123" w:lineRule="exact"/>
        <w:rPr>
          <w:sz w:val="20"/>
          <w:szCs w:val="20"/>
          <w:color w:val="auto"/>
        </w:rPr>
      </w:pPr>
    </w:p>
    <w:p>
      <w:pPr>
        <w:ind w:left="1160" w:right="939" w:firstLine="331"/>
        <w:spacing w:after="0" w:line="252" w:lineRule="auto"/>
        <w:rPr>
          <w:sz w:val="20"/>
          <w:szCs w:val="20"/>
          <w:color w:val="auto"/>
        </w:rPr>
      </w:pPr>
      <w:r>
        <w:rPr>
          <w:rFonts w:ascii="Arial" w:cs="Arial" w:eastAsia="Arial" w:hAnsi="Arial"/>
          <w:sz w:val="17"/>
          <w:szCs w:val="17"/>
          <w:color w:val="auto"/>
        </w:rPr>
        <w:t>Our business, financial condition and results of operations could be materially and adversely affected by any or all of these risks or by additional risks and uncertainties not presently known to us or that we currently deem immaterial that may adversely affect us in the future.</w:t>
      </w:r>
    </w:p>
    <w:p>
      <w:pPr>
        <w:spacing w:after="0" w:line="174" w:lineRule="exact"/>
        <w:rPr>
          <w:sz w:val="20"/>
          <w:szCs w:val="20"/>
          <w:color w:val="auto"/>
        </w:rPr>
      </w:pPr>
    </w:p>
    <w:p>
      <w:pPr>
        <w:jc w:val="center"/>
        <w:ind w:right="-400"/>
        <w:spacing w:after="0"/>
        <w:rPr>
          <w:sz w:val="20"/>
          <w:szCs w:val="20"/>
          <w:color w:val="auto"/>
        </w:rPr>
      </w:pPr>
      <w:r>
        <w:rPr>
          <w:rFonts w:ascii="Arial" w:cs="Arial" w:eastAsia="Arial" w:hAnsi="Arial"/>
          <w:sz w:val="17"/>
          <w:szCs w:val="17"/>
          <w:b w:val="1"/>
          <w:bCs w:val="1"/>
          <w:color w:val="auto"/>
        </w:rPr>
        <w:t>WHERE YOU CAN FIND MORE INFORMATION</w:t>
      </w:r>
    </w:p>
    <w:p>
      <w:pPr>
        <w:spacing w:after="0" w:line="131" w:lineRule="exact"/>
        <w:rPr>
          <w:sz w:val="20"/>
          <w:szCs w:val="20"/>
          <w:color w:val="auto"/>
        </w:rPr>
      </w:pPr>
    </w:p>
    <w:p>
      <w:pPr>
        <w:ind w:left="1160" w:right="899" w:firstLine="331"/>
        <w:spacing w:after="0" w:line="247" w:lineRule="auto"/>
        <w:rPr>
          <w:sz w:val="20"/>
          <w:szCs w:val="20"/>
          <w:color w:val="auto"/>
        </w:rPr>
      </w:pPr>
      <w:r>
        <w:rPr>
          <w:rFonts w:ascii="Arial" w:cs="Arial" w:eastAsia="Arial" w:hAnsi="Arial"/>
          <w:sz w:val="17"/>
          <w:szCs w:val="17"/>
          <w:color w:val="auto"/>
        </w:rPr>
        <w:t>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http://www.ivericbio.com. Our website is not a part of this prospectus and is not incorporated by reference in this prospectus.</w:t>
      </w:r>
    </w:p>
    <w:p>
      <w:pPr>
        <w:spacing w:after="0" w:line="123" w:lineRule="exact"/>
        <w:rPr>
          <w:sz w:val="20"/>
          <w:szCs w:val="20"/>
          <w:color w:val="auto"/>
        </w:rPr>
      </w:pPr>
    </w:p>
    <w:p>
      <w:pPr>
        <w:ind w:left="1160" w:right="779" w:firstLine="331"/>
        <w:spacing w:after="0" w:line="246" w:lineRule="auto"/>
        <w:rPr>
          <w:sz w:val="20"/>
          <w:szCs w:val="20"/>
          <w:color w:val="auto"/>
        </w:rPr>
      </w:pPr>
      <w:r>
        <w:rPr>
          <w:rFonts w:ascii="Arial" w:cs="Arial" w:eastAsia="Arial" w:hAnsi="Arial"/>
          <w:sz w:val="17"/>
          <w:szCs w:val="17"/>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346"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225425</wp:posOffset>
            </wp:positionV>
            <wp:extent cx="627126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71260" cy="41275"/>
                    </a:xfrm>
                    <a:prstGeom prst="rect">
                      <a:avLst/>
                    </a:prstGeom>
                    <a:noFill/>
                  </pic:spPr>
                </pic:pic>
              </a:graphicData>
            </a:graphic>
          </wp:anchor>
        </w:drawing>
      </w:r>
    </w:p>
    <w:p>
      <w:pPr>
        <w:sectPr>
          <w:pgSz w:w="11900" w:h="16838" w:orient="portrait"/>
          <w:cols w:equalWidth="0" w:num="1">
            <w:col w:w="9439"/>
          </w:cols>
          <w:pgMar w:left="1020" w:top="132" w:right="1440" w:bottom="1440" w:gutter="0" w:footer="0" w:header="0"/>
        </w:sectPr>
      </w:pPr>
    </w:p>
    <w:bookmarkStart w:id="4" w:name="page5"/>
    <w:bookmarkEnd w:id="4"/>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400"/>
        <w:spacing w:after="0"/>
        <w:rPr>
          <w:sz w:val="20"/>
          <w:szCs w:val="20"/>
          <w:color w:val="auto"/>
        </w:rPr>
      </w:pPr>
      <w:r>
        <w:rPr>
          <w:rFonts w:ascii="Arial" w:cs="Arial" w:eastAsia="Arial" w:hAnsi="Arial"/>
          <w:sz w:val="17"/>
          <w:szCs w:val="17"/>
          <w:b w:val="1"/>
          <w:bCs w:val="1"/>
          <w:color w:val="auto"/>
        </w:rPr>
        <w:t>INCORPORATION BY REFERENCE</w:t>
      </w:r>
    </w:p>
    <w:p>
      <w:pPr>
        <w:spacing w:after="0" w:line="13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SEC allows us to incorporate by reference much of the information we file with the SEC, which</w:t>
      </w:r>
    </w:p>
    <w:p>
      <w:pPr>
        <w:spacing w:after="0" w:line="37"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means that we can disclose important information to you by referring you to those publicly available</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documents. The information that we incorporate by reference in this prospectus is considered to be part of</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this prospectus. Because we are incorporating by reference future filings with the SEC, this prospectus is</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continually updated and those future filings may modify or supersede some of the information included or</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incorporated in this prospectus. This means that you must look at all of the SEC filings that we incorporate</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by reference to determine if any of the statements in this prospectus or in any document previously</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incorporated by reference have been modified or superseded. This prospectus incorporates by reference the</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documents listed below (File No. 001-36080) and any future filings we make with the SEC under</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Sections 13(a), 13(c), 14 or 15(d) of the Securities Exchange Act of 1934, as amended, or the Exchange Act</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(in each case, other than those documents or the portions of those documents not deemed to be filed) until</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the offering of the securities under the registration statement is terminated or completed:</w:t>
      </w:r>
    </w:p>
    <w:p>
      <w:pPr>
        <w:spacing w:after="0" w:line="91" w:lineRule="exact"/>
        <w:rPr>
          <w:sz w:val="20"/>
          <w:szCs w:val="20"/>
          <w:color w:val="auto"/>
        </w:rPr>
      </w:pPr>
    </w:p>
    <w:p>
      <w:pPr>
        <w:ind w:left="1640" w:right="839" w:hanging="156"/>
        <w:spacing w:after="0" w:line="249" w:lineRule="auto"/>
        <w:tabs>
          <w:tab w:leader="none" w:pos="1640" w:val="left"/>
        </w:tabs>
        <w:numPr>
          <w:ilvl w:val="0"/>
          <w:numId w:val="2"/>
        </w:numPr>
        <w:rPr>
          <w:rFonts w:ascii="Arial" w:cs="Arial" w:eastAsia="Arial" w:hAnsi="Arial"/>
          <w:sz w:val="17"/>
          <w:szCs w:val="17"/>
          <w:u w:val="single" w:color="auto"/>
          <w:color w:val="0000EE"/>
        </w:rPr>
      </w:pPr>
      <w:hyperlink r:id="rId20">
        <w:r>
          <w:rPr>
            <w:rFonts w:ascii="Arial" w:cs="Arial" w:eastAsia="Arial" w:hAnsi="Arial"/>
            <w:sz w:val="17"/>
            <w:szCs w:val="17"/>
            <w:u w:val="single" w:color="auto"/>
            <w:color w:val="0000EE"/>
          </w:rPr>
          <w:t>Annual Report on Form 10-K for the fiscal year ended December 31, 2020, as filed with the SEC on</w:t>
        </w:r>
      </w:hyperlink>
      <w:r>
        <w:rPr>
          <w:rFonts w:ascii="Arial" w:cs="Arial" w:eastAsia="Arial" w:hAnsi="Arial"/>
          <w:sz w:val="17"/>
          <w:szCs w:val="17"/>
          <w:u w:val="single" w:color="auto"/>
          <w:color w:val="0000EE"/>
        </w:rPr>
        <w:t xml:space="preserve"> </w:t>
      </w:r>
      <w:hyperlink r:id="rId20">
        <w:r>
          <w:rPr>
            <w:rFonts w:ascii="Arial" w:cs="Arial" w:eastAsia="Arial" w:hAnsi="Arial"/>
            <w:sz w:val="17"/>
            <w:szCs w:val="17"/>
            <w:u w:val="single" w:color="auto"/>
            <w:color w:val="0000EE"/>
          </w:rPr>
          <w:t>March 4, 2021</w:t>
        </w:r>
        <w:r>
          <w:rPr>
            <w:rFonts w:ascii="Arial" w:cs="Arial" w:eastAsia="Arial" w:hAnsi="Arial"/>
            <w:sz w:val="17"/>
            <w:szCs w:val="17"/>
            <w:color w:val="000000"/>
          </w:rPr>
          <w:t>, including the information specifically incorporated by reference into the Annual</w:t>
        </w:r>
      </w:hyperlink>
      <w:r>
        <w:rPr>
          <w:rFonts w:ascii="Arial" w:cs="Arial" w:eastAsia="Arial" w:hAnsi="Arial"/>
          <w:sz w:val="17"/>
          <w:szCs w:val="17"/>
          <w:color w:val="0000EE"/>
        </w:rPr>
        <w:t xml:space="preserve"> </w:t>
      </w:r>
      <w:hyperlink r:id="rId21">
        <w:r>
          <w:rPr>
            <w:rFonts w:ascii="Arial" w:cs="Arial" w:eastAsia="Arial" w:hAnsi="Arial"/>
            <w:sz w:val="17"/>
            <w:szCs w:val="17"/>
            <w:color w:val="000000"/>
          </w:rPr>
          <w:t xml:space="preserve">Report on Form 10-K from our </w:t>
        </w:r>
        <w:r>
          <w:rPr>
            <w:rFonts w:ascii="Arial" w:cs="Arial" w:eastAsia="Arial" w:hAnsi="Arial"/>
            <w:sz w:val="17"/>
            <w:szCs w:val="17"/>
            <w:u w:val="single" w:color="auto"/>
            <w:color w:val="0000EE"/>
          </w:rPr>
          <w:t>definitive proxy statement for the 2021 Annual Meeting of</w:t>
        </w:r>
      </w:hyperlink>
      <w:r>
        <w:rPr>
          <w:rFonts w:ascii="Arial" w:cs="Arial" w:eastAsia="Arial" w:hAnsi="Arial"/>
          <w:sz w:val="17"/>
          <w:szCs w:val="17"/>
          <w:color w:val="000000"/>
        </w:rPr>
        <w:t xml:space="preserve"> </w:t>
      </w:r>
      <w:hyperlink r:id="rId21">
        <w:r>
          <w:rPr>
            <w:rFonts w:ascii="Arial" w:cs="Arial" w:eastAsia="Arial" w:hAnsi="Arial"/>
            <w:sz w:val="17"/>
            <w:szCs w:val="17"/>
            <w:u w:val="single" w:color="auto"/>
            <w:color w:val="0000EE"/>
          </w:rPr>
          <w:t>Stockholders, as filed with the SEC on April 7, 2021;</w:t>
        </w:r>
      </w:hyperlink>
    </w:p>
    <w:p>
      <w:pPr>
        <w:spacing w:after="0" w:line="81" w:lineRule="exact"/>
        <w:rPr>
          <w:rFonts w:ascii="Arial" w:cs="Arial" w:eastAsia="Arial" w:hAnsi="Arial"/>
          <w:sz w:val="17"/>
          <w:szCs w:val="17"/>
          <w:u w:val="single" w:color="auto"/>
          <w:color w:val="0000EE"/>
        </w:rPr>
      </w:pPr>
    </w:p>
    <w:p>
      <w:pPr>
        <w:ind w:left="1640" w:right="859" w:hanging="156"/>
        <w:spacing w:after="0" w:line="260" w:lineRule="auto"/>
        <w:tabs>
          <w:tab w:leader="none" w:pos="1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Quarterly Reports on Form 10-Q for the fiscal quarters ended March 31, 2021 and June 30, 2021, as filed with the SEC on </w:t>
      </w:r>
      <w:hyperlink r:id="rId22">
        <w:r>
          <w:rPr>
            <w:rFonts w:ascii="Arial" w:cs="Arial" w:eastAsia="Arial" w:hAnsi="Arial"/>
            <w:sz w:val="17"/>
            <w:szCs w:val="17"/>
            <w:u w:val="single" w:color="auto"/>
            <w:color w:val="0000EE"/>
          </w:rPr>
          <w:t>May 5, 2021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r:id="rId23">
        <w:r>
          <w:rPr>
            <w:rFonts w:ascii="Arial" w:cs="Arial" w:eastAsia="Arial" w:hAnsi="Arial"/>
            <w:sz w:val="17"/>
            <w:szCs w:val="17"/>
            <w:u w:val="single" w:color="auto"/>
            <w:color w:val="0000EE"/>
          </w:rPr>
          <w:t>August 4, 2021</w:t>
        </w:r>
      </w:hyperlink>
      <w:r>
        <w:rPr>
          <w:rFonts w:ascii="Arial" w:cs="Arial" w:eastAsia="Arial" w:hAnsi="Arial"/>
          <w:sz w:val="17"/>
          <w:szCs w:val="17"/>
          <w:color w:val="auto"/>
        </w:rPr>
        <w:t>;</w:t>
      </w:r>
    </w:p>
    <w:p>
      <w:pPr>
        <w:spacing w:after="0" w:line="72" w:lineRule="exact"/>
        <w:rPr>
          <w:rFonts w:ascii="Arial" w:cs="Arial" w:eastAsia="Arial" w:hAnsi="Arial"/>
          <w:sz w:val="17"/>
          <w:szCs w:val="17"/>
          <w:color w:val="auto"/>
        </w:rPr>
      </w:pPr>
    </w:p>
    <w:p>
      <w:pPr>
        <w:ind w:left="1640" w:right="999" w:hanging="156"/>
        <w:spacing w:after="0" w:line="252" w:lineRule="auto"/>
        <w:tabs>
          <w:tab w:leader="none" w:pos="1640" w:val="left"/>
        </w:tabs>
        <w:numPr>
          <w:ilvl w:val="0"/>
          <w:numId w:val="2"/>
        </w:numPr>
        <w:rPr>
          <w:rFonts w:ascii="Arial" w:cs="Arial" w:eastAsia="Arial" w:hAnsi="Arial"/>
          <w:sz w:val="17"/>
          <w:szCs w:val="17"/>
          <w:color w:val="0000EE"/>
        </w:rPr>
      </w:pPr>
      <w:r>
        <w:rPr>
          <w:rFonts w:ascii="Arial" w:cs="Arial" w:eastAsia="Arial" w:hAnsi="Arial"/>
          <w:sz w:val="17"/>
          <w:szCs w:val="17"/>
          <w:color w:val="auto"/>
        </w:rPr>
        <w:t xml:space="preserve">Current Reports on Form 8-K as filed with the SEC on </w:t>
      </w:r>
      <w:hyperlink r:id="rId24">
        <w:r>
          <w:rPr>
            <w:rFonts w:ascii="Arial" w:cs="Arial" w:eastAsia="Arial" w:hAnsi="Arial"/>
            <w:sz w:val="17"/>
            <w:szCs w:val="17"/>
            <w:u w:val="single" w:color="auto"/>
            <w:color w:val="0000EE"/>
          </w:rPr>
          <w:t>January 11, 2021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(excluding Item 2.02), </w:t>
      </w:r>
      <w:hyperlink r:id="rId25">
        <w:r>
          <w:rPr>
            <w:rFonts w:ascii="Arial" w:cs="Arial" w:eastAsia="Arial" w:hAnsi="Arial"/>
            <w:sz w:val="17"/>
            <w:szCs w:val="17"/>
            <w:u w:val="single" w:color="auto"/>
            <w:color w:val="0000EE"/>
          </w:rPr>
          <w:t>April 5, 2021</w:t>
        </w:r>
      </w:hyperlink>
      <w:r>
        <w:rPr>
          <w:rFonts w:ascii="Arial" w:cs="Arial" w:eastAsia="Arial" w:hAnsi="Arial"/>
          <w:sz w:val="17"/>
          <w:szCs w:val="17"/>
          <w:color w:val="000000"/>
        </w:rPr>
        <w:t>,</w:t>
      </w:r>
      <w:r>
        <w:rPr>
          <w:rFonts w:ascii="Arial" w:cs="Arial" w:eastAsia="Arial" w:hAnsi="Arial"/>
          <w:sz w:val="17"/>
          <w:szCs w:val="17"/>
          <w:color w:val="0000EE"/>
        </w:rPr>
        <w:t xml:space="preserve"> </w:t>
      </w:r>
      <w:hyperlink r:id="rId26">
        <w:r>
          <w:rPr>
            <w:rFonts w:ascii="Arial" w:cs="Arial" w:eastAsia="Arial" w:hAnsi="Arial"/>
            <w:sz w:val="17"/>
            <w:szCs w:val="17"/>
            <w:u w:val="single" w:color="auto"/>
            <w:color w:val="0000EE"/>
          </w:rPr>
          <w:t xml:space="preserve">May 5, 2021 </w:t>
        </w:r>
      </w:hyperlink>
      <w:r>
        <w:rPr>
          <w:rFonts w:ascii="Arial" w:cs="Arial" w:eastAsia="Arial" w:hAnsi="Arial"/>
          <w:sz w:val="17"/>
          <w:szCs w:val="17"/>
          <w:color w:val="000000"/>
        </w:rPr>
        <w:t>(excluding</w:t>
      </w:r>
      <w:r>
        <w:rPr>
          <w:rFonts w:ascii="Arial" w:cs="Arial" w:eastAsia="Arial" w:hAnsi="Arial"/>
          <w:sz w:val="17"/>
          <w:szCs w:val="17"/>
          <w:color w:val="0000EE"/>
        </w:rPr>
        <w:t xml:space="preserve"> </w:t>
      </w:r>
      <w:r>
        <w:rPr>
          <w:rFonts w:ascii="Arial" w:cs="Arial" w:eastAsia="Arial" w:hAnsi="Arial"/>
          <w:sz w:val="17"/>
          <w:szCs w:val="17"/>
          <w:color w:val="000000"/>
        </w:rPr>
        <w:t>Item 2.02 and Exhibit 99.1),</w:t>
      </w:r>
      <w:r>
        <w:rPr>
          <w:rFonts w:ascii="Arial" w:cs="Arial" w:eastAsia="Arial" w:hAnsi="Arial"/>
          <w:sz w:val="17"/>
          <w:szCs w:val="17"/>
          <w:color w:val="0000EE"/>
        </w:rPr>
        <w:t xml:space="preserve"> </w:t>
      </w:r>
      <w:hyperlink r:id="rId27">
        <w:r>
          <w:rPr>
            <w:rFonts w:ascii="Arial" w:cs="Arial" w:eastAsia="Arial" w:hAnsi="Arial"/>
            <w:sz w:val="17"/>
            <w:szCs w:val="17"/>
            <w:u w:val="single" w:color="auto"/>
            <w:color w:val="0000EE"/>
          </w:rPr>
          <w:t>May 21, 2021</w:t>
        </w:r>
      </w:hyperlink>
      <w:r>
        <w:rPr>
          <w:rFonts w:ascii="Arial" w:cs="Arial" w:eastAsia="Arial" w:hAnsi="Arial"/>
          <w:sz w:val="17"/>
          <w:szCs w:val="17"/>
          <w:color w:val="000000"/>
        </w:rPr>
        <w:t>,</w:t>
      </w:r>
      <w:r>
        <w:rPr>
          <w:rFonts w:ascii="Arial" w:cs="Arial" w:eastAsia="Arial" w:hAnsi="Arial"/>
          <w:sz w:val="17"/>
          <w:szCs w:val="17"/>
          <w:color w:val="0000EE"/>
        </w:rPr>
        <w:t xml:space="preserve"> </w:t>
      </w:r>
      <w:hyperlink r:id="rId28">
        <w:r>
          <w:rPr>
            <w:rFonts w:ascii="Arial" w:cs="Arial" w:eastAsia="Arial" w:hAnsi="Arial"/>
            <w:sz w:val="17"/>
            <w:szCs w:val="17"/>
            <w:u w:val="single" w:color="auto"/>
            <w:color w:val="0000EE"/>
          </w:rPr>
          <w:t>June 21, 2021</w:t>
        </w:r>
      </w:hyperlink>
      <w:r>
        <w:rPr>
          <w:rFonts w:ascii="Arial" w:cs="Arial" w:eastAsia="Arial" w:hAnsi="Arial"/>
          <w:sz w:val="17"/>
          <w:szCs w:val="17"/>
          <w:color w:val="000000"/>
        </w:rPr>
        <w:t>,</w:t>
      </w:r>
      <w:r>
        <w:rPr>
          <w:rFonts w:ascii="Arial" w:cs="Arial" w:eastAsia="Arial" w:hAnsi="Arial"/>
          <w:sz w:val="17"/>
          <w:szCs w:val="17"/>
          <w:color w:val="0000EE"/>
        </w:rPr>
        <w:t xml:space="preserve"> </w:t>
      </w:r>
      <w:hyperlink r:id="rId29">
        <w:r>
          <w:rPr>
            <w:rFonts w:ascii="Arial" w:cs="Arial" w:eastAsia="Arial" w:hAnsi="Arial"/>
            <w:sz w:val="17"/>
            <w:szCs w:val="17"/>
            <w:u w:val="single" w:color="auto"/>
            <w:color w:val="0000EE"/>
          </w:rPr>
          <w:t>July 6, 2021</w:t>
        </w:r>
      </w:hyperlink>
      <w:r>
        <w:rPr>
          <w:rFonts w:ascii="Arial" w:cs="Arial" w:eastAsia="Arial" w:hAnsi="Arial"/>
          <w:sz w:val="17"/>
          <w:szCs w:val="17"/>
          <w:color w:val="000000"/>
        </w:rPr>
        <w:t>,</w:t>
      </w:r>
      <w:r>
        <w:rPr>
          <w:rFonts w:ascii="Arial" w:cs="Arial" w:eastAsia="Arial" w:hAnsi="Arial"/>
          <w:sz w:val="17"/>
          <w:szCs w:val="17"/>
          <w:color w:val="0000EE"/>
        </w:rPr>
        <w:t xml:space="preserve"> </w:t>
      </w:r>
      <w:hyperlink r:id="rId30">
        <w:r>
          <w:rPr>
            <w:rFonts w:ascii="Arial" w:cs="Arial" w:eastAsia="Arial" w:hAnsi="Arial"/>
            <w:sz w:val="17"/>
            <w:szCs w:val="17"/>
            <w:u w:val="single" w:color="auto"/>
            <w:color w:val="0000EE"/>
          </w:rPr>
          <w:t>July 12, 2021</w:t>
        </w:r>
      </w:hyperlink>
      <w:r>
        <w:rPr>
          <w:rFonts w:ascii="Arial" w:cs="Arial" w:eastAsia="Arial" w:hAnsi="Arial"/>
          <w:sz w:val="17"/>
          <w:szCs w:val="17"/>
          <w:color w:val="000000"/>
        </w:rPr>
        <w:t>,</w:t>
      </w:r>
      <w:r>
        <w:rPr>
          <w:rFonts w:ascii="Arial" w:cs="Arial" w:eastAsia="Arial" w:hAnsi="Arial"/>
          <w:sz w:val="17"/>
          <w:szCs w:val="17"/>
          <w:color w:val="0000EE"/>
        </w:rPr>
        <w:t xml:space="preserve"> </w:t>
      </w:r>
      <w:hyperlink r:id="rId31">
        <w:r>
          <w:rPr>
            <w:rFonts w:ascii="Arial" w:cs="Arial" w:eastAsia="Arial" w:hAnsi="Arial"/>
            <w:sz w:val="17"/>
            <w:szCs w:val="17"/>
            <w:u w:val="single" w:color="auto"/>
            <w:color w:val="0000EE"/>
          </w:rPr>
          <w:t xml:space="preserve">July 14, 2021 </w:t>
        </w:r>
      </w:hyperlink>
      <w:r>
        <w:rPr>
          <w:rFonts w:ascii="Arial" w:cs="Arial" w:eastAsia="Arial" w:hAnsi="Arial"/>
          <w:sz w:val="17"/>
          <w:szCs w:val="17"/>
          <w:color w:val="000000"/>
        </w:rPr>
        <w:t>and</w:t>
      </w:r>
      <w:r>
        <w:rPr>
          <w:rFonts w:ascii="Arial" w:cs="Arial" w:eastAsia="Arial" w:hAnsi="Arial"/>
          <w:sz w:val="17"/>
          <w:szCs w:val="17"/>
          <w:color w:val="0000EE"/>
        </w:rPr>
        <w:t xml:space="preserve"> </w:t>
      </w:r>
      <w:hyperlink r:id="rId32">
        <w:r>
          <w:rPr>
            <w:rFonts w:ascii="Arial" w:cs="Arial" w:eastAsia="Arial" w:hAnsi="Arial"/>
            <w:sz w:val="17"/>
            <w:szCs w:val="17"/>
            <w:u w:val="single" w:color="auto"/>
            <w:color w:val="0000EE"/>
          </w:rPr>
          <w:t>October 1, 2021</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color w:val="000000"/>
        </w:rPr>
        <w:t>and</w:t>
      </w:r>
    </w:p>
    <w:p>
      <w:pPr>
        <w:spacing w:after="0" w:line="78" w:lineRule="exact"/>
        <w:rPr>
          <w:rFonts w:ascii="Arial" w:cs="Arial" w:eastAsia="Arial" w:hAnsi="Arial"/>
          <w:sz w:val="17"/>
          <w:szCs w:val="17"/>
          <w:color w:val="0000EE"/>
        </w:rPr>
      </w:pPr>
    </w:p>
    <w:p>
      <w:pPr>
        <w:ind w:left="1640" w:right="799" w:hanging="156"/>
        <w:spacing w:after="0" w:line="288" w:lineRule="auto"/>
        <w:tabs>
          <w:tab w:leader="none" w:pos="1640" w:val="left"/>
        </w:tabs>
        <w:numPr>
          <w:ilvl w:val="0"/>
          <w:numId w:val="2"/>
        </w:numPr>
        <w:rPr>
          <w:rFonts w:ascii="Arial" w:cs="Arial" w:eastAsia="Arial" w:hAnsi="Arial"/>
          <w:sz w:val="15"/>
          <w:szCs w:val="15"/>
          <w:color w:val="0000EE"/>
        </w:rPr>
      </w:pPr>
      <w:hyperlink r:id="rId33">
        <w:r>
          <w:rPr>
            <w:rFonts w:ascii="Arial" w:cs="Arial" w:eastAsia="Arial" w:hAnsi="Arial"/>
            <w:sz w:val="15"/>
            <w:szCs w:val="15"/>
            <w:color w:val="auto"/>
          </w:rPr>
          <w:t xml:space="preserve">The description of our common stock contained in our Registration Statement on </w:t>
        </w:r>
        <w:r>
          <w:rPr>
            <w:rFonts w:ascii="Arial" w:cs="Arial" w:eastAsia="Arial" w:hAnsi="Arial"/>
            <w:sz w:val="15"/>
            <w:szCs w:val="15"/>
            <w:u w:val="single" w:color="auto"/>
            <w:color w:val="0000EE"/>
          </w:rPr>
          <w:t>Form 8-A filed</w:t>
        </w:r>
      </w:hyperlink>
      <w:r>
        <w:rPr>
          <w:rFonts w:ascii="Arial" w:cs="Arial" w:eastAsia="Arial" w:hAnsi="Arial"/>
          <w:sz w:val="15"/>
          <w:szCs w:val="15"/>
          <w:color w:val="auto"/>
        </w:rPr>
        <w:t xml:space="preserve"> </w:t>
      </w:r>
      <w:hyperlink r:id="rId33">
        <w:r>
          <w:rPr>
            <w:rFonts w:ascii="Arial" w:cs="Arial" w:eastAsia="Arial" w:hAnsi="Arial"/>
            <w:sz w:val="15"/>
            <w:szCs w:val="15"/>
            <w:u w:val="single" w:color="auto"/>
            <w:color w:val="0000EE"/>
          </w:rPr>
          <w:t>with the SEC on September 20, 2013</w:t>
        </w:r>
        <w:r>
          <w:rPr>
            <w:rFonts w:ascii="Arial" w:cs="Arial" w:eastAsia="Arial" w:hAnsi="Arial"/>
            <w:sz w:val="15"/>
            <w:szCs w:val="15"/>
            <w:color w:val="000000"/>
          </w:rPr>
          <w:t xml:space="preserve">, as the description therein has been updated and superseded </w:t>
        </w:r>
      </w:hyperlink>
      <w:r>
        <w:rPr>
          <w:rFonts w:ascii="Arial" w:cs="Arial" w:eastAsia="Arial" w:hAnsi="Arial"/>
          <w:sz w:val="15"/>
          <w:szCs w:val="15"/>
          <w:color w:val="0000EE"/>
        </w:rPr>
        <w:t xml:space="preserve">by </w:t>
      </w:r>
      <w:hyperlink r:id="rId20">
        <w:r>
          <w:rPr>
            <w:rFonts w:ascii="Arial" w:cs="Arial" w:eastAsia="Arial" w:hAnsi="Arial"/>
            <w:sz w:val="15"/>
            <w:szCs w:val="15"/>
            <w:color w:val="000000"/>
          </w:rPr>
          <w:t xml:space="preserve">the description of our capital stock contained in Exhibit 4.1 to our </w:t>
        </w:r>
        <w:r>
          <w:rPr>
            <w:rFonts w:ascii="Arial" w:cs="Arial" w:eastAsia="Arial" w:hAnsi="Arial"/>
            <w:sz w:val="15"/>
            <w:szCs w:val="15"/>
            <w:u w:val="single" w:color="auto"/>
            <w:color w:val="0000EE"/>
          </w:rPr>
          <w:t>Annual Report on Form 10-K for</w:t>
        </w:r>
      </w:hyperlink>
      <w:r>
        <w:rPr>
          <w:rFonts w:ascii="Arial" w:cs="Arial" w:eastAsia="Arial" w:hAnsi="Arial"/>
          <w:sz w:val="15"/>
          <w:szCs w:val="15"/>
          <w:color w:val="000000"/>
        </w:rPr>
        <w:t xml:space="preserve"> </w:t>
      </w:r>
      <w:hyperlink r:id="rId20">
        <w:r>
          <w:rPr>
            <w:rFonts w:ascii="Arial" w:cs="Arial" w:eastAsia="Arial" w:hAnsi="Arial"/>
            <w:sz w:val="15"/>
            <w:szCs w:val="15"/>
            <w:u w:val="single" w:color="auto"/>
            <w:color w:val="0000EE"/>
          </w:rPr>
          <w:t>the fiscal year ended December 31, 2020, as filed with the SEC on March 4, 2021</w:t>
        </w:r>
        <w:r>
          <w:rPr>
            <w:rFonts w:ascii="Arial" w:cs="Arial" w:eastAsia="Arial" w:hAnsi="Arial"/>
            <w:sz w:val="15"/>
            <w:szCs w:val="15"/>
            <w:color w:val="000000"/>
          </w:rPr>
          <w:t>, and including any</w:t>
        </w:r>
      </w:hyperlink>
      <w:r>
        <w:rPr>
          <w:rFonts w:ascii="Arial" w:cs="Arial" w:eastAsia="Arial" w:hAnsi="Arial"/>
          <w:sz w:val="15"/>
          <w:szCs w:val="15"/>
          <w:color w:val="0000EE"/>
        </w:rPr>
        <w:t xml:space="preserve"> </w:t>
      </w:r>
      <w:r>
        <w:rPr>
          <w:rFonts w:ascii="Arial" w:cs="Arial" w:eastAsia="Arial" w:hAnsi="Arial"/>
          <w:sz w:val="15"/>
          <w:szCs w:val="15"/>
          <w:color w:val="000000"/>
        </w:rPr>
        <w:t>amendments and reports filed for the purpose of updating such description.</w:t>
      </w:r>
    </w:p>
    <w:p>
      <w:pPr>
        <w:spacing w:after="0" w:line="94" w:lineRule="exact"/>
        <w:rPr>
          <w:rFonts w:ascii="Arial" w:cs="Arial" w:eastAsia="Arial" w:hAnsi="Arial"/>
          <w:sz w:val="15"/>
          <w:szCs w:val="15"/>
          <w:color w:val="0000EE"/>
        </w:rPr>
      </w:pPr>
    </w:p>
    <w:p>
      <w:pPr>
        <w:ind w:left="1160" w:right="1259" w:firstLine="331"/>
        <w:spacing w:after="0" w:line="260" w:lineRule="auto"/>
        <w:rPr>
          <w:sz w:val="20"/>
          <w:szCs w:val="20"/>
          <w:color w:val="auto"/>
        </w:rPr>
      </w:pPr>
      <w:r>
        <w:rPr>
          <w:rFonts w:ascii="Arial" w:cs="Arial" w:eastAsia="Arial" w:hAnsi="Arial"/>
          <w:sz w:val="17"/>
          <w:szCs w:val="17"/>
          <w:color w:val="auto"/>
        </w:rPr>
        <w:t>You may request a copy of these filings, at no cost, by writing or telephoning us at the following address or telephone number:</w:t>
      </w:r>
    </w:p>
    <w:p>
      <w:pPr>
        <w:spacing w:after="0" w:line="110" w:lineRule="exact"/>
        <w:rPr>
          <w:rFonts w:ascii="Arial" w:cs="Arial" w:eastAsia="Arial" w:hAnsi="Arial"/>
          <w:sz w:val="15"/>
          <w:szCs w:val="15"/>
          <w:color w:val="0000EE"/>
        </w:rPr>
      </w:pPr>
    </w:p>
    <w:p>
      <w:pPr>
        <w:jc w:val="center"/>
        <w:ind w:right="-360"/>
        <w:spacing w:after="0"/>
        <w:rPr>
          <w:sz w:val="20"/>
          <w:szCs w:val="20"/>
          <w:color w:val="auto"/>
        </w:rPr>
      </w:pPr>
      <w:r>
        <w:rPr>
          <w:rFonts w:ascii="Arial" w:cs="Arial" w:eastAsia="Arial" w:hAnsi="Arial"/>
          <w:sz w:val="17"/>
          <w:szCs w:val="17"/>
          <w:color w:val="auto"/>
        </w:rPr>
        <w:t>IVERIC bio, Inc.</w:t>
      </w:r>
    </w:p>
    <w:p>
      <w:pPr>
        <w:spacing w:after="0" w:line="14" w:lineRule="exact"/>
        <w:rPr>
          <w:rFonts w:ascii="Arial" w:cs="Arial" w:eastAsia="Arial" w:hAnsi="Arial"/>
          <w:sz w:val="15"/>
          <w:szCs w:val="15"/>
          <w:color w:val="0000EE"/>
        </w:rPr>
      </w:pPr>
    </w:p>
    <w:p>
      <w:pPr>
        <w:jc w:val="center"/>
        <w:ind w:right="-360"/>
        <w:spacing w:after="0"/>
        <w:rPr>
          <w:sz w:val="20"/>
          <w:szCs w:val="20"/>
          <w:color w:val="auto"/>
        </w:rPr>
      </w:pPr>
      <w:r>
        <w:rPr>
          <w:rFonts w:ascii="Arial" w:cs="Arial" w:eastAsia="Arial" w:hAnsi="Arial"/>
          <w:sz w:val="17"/>
          <w:szCs w:val="17"/>
          <w:color w:val="auto"/>
        </w:rPr>
        <w:t>Five Penn Plaza, Suite 2372</w:t>
      </w:r>
    </w:p>
    <w:p>
      <w:pPr>
        <w:spacing w:after="0" w:line="3" w:lineRule="exact"/>
        <w:rPr>
          <w:rFonts w:ascii="Arial" w:cs="Arial" w:eastAsia="Arial" w:hAnsi="Arial"/>
          <w:sz w:val="15"/>
          <w:szCs w:val="15"/>
          <w:color w:val="0000EE"/>
        </w:rPr>
      </w:pPr>
    </w:p>
    <w:p>
      <w:pPr>
        <w:ind w:left="4140"/>
        <w:spacing w:after="0"/>
        <w:rPr>
          <w:sz w:val="20"/>
          <w:szCs w:val="20"/>
          <w:color w:val="auto"/>
        </w:rPr>
      </w:pPr>
      <w:r>
        <w:rPr>
          <w:rFonts w:ascii="Arial" w:cs="Arial" w:eastAsia="Arial" w:hAnsi="Arial"/>
          <w:sz w:val="17"/>
          <w:szCs w:val="17"/>
          <w:color w:val="auto"/>
        </w:rPr>
        <w:t>New York, NY 10001</w:t>
      </w:r>
    </w:p>
    <w:p>
      <w:pPr>
        <w:spacing w:after="0" w:line="3" w:lineRule="exact"/>
        <w:rPr>
          <w:rFonts w:ascii="Arial" w:cs="Arial" w:eastAsia="Arial" w:hAnsi="Arial"/>
          <w:sz w:val="15"/>
          <w:szCs w:val="15"/>
          <w:color w:val="0000EE"/>
        </w:rPr>
      </w:pPr>
    </w:p>
    <w:p>
      <w:pPr>
        <w:ind w:left="4380"/>
        <w:spacing w:after="0"/>
        <w:rPr>
          <w:sz w:val="20"/>
          <w:szCs w:val="20"/>
          <w:color w:val="auto"/>
        </w:rPr>
      </w:pPr>
      <w:r>
        <w:rPr>
          <w:rFonts w:ascii="Arial" w:cs="Arial" w:eastAsia="Arial" w:hAnsi="Arial"/>
          <w:sz w:val="17"/>
          <w:szCs w:val="17"/>
          <w:color w:val="auto"/>
        </w:rPr>
        <w:t>(212) 845-8200</w:t>
      </w:r>
    </w:p>
    <w:p>
      <w:pPr>
        <w:spacing w:after="0" w:line="200" w:lineRule="exact"/>
        <w:rPr>
          <w:rFonts w:ascii="Arial" w:cs="Arial" w:eastAsia="Arial" w:hAnsi="Arial"/>
          <w:sz w:val="15"/>
          <w:szCs w:val="15"/>
          <w:color w:val="0000EE"/>
        </w:rPr>
      </w:pPr>
    </w:p>
    <w:p>
      <w:pPr>
        <w:spacing w:after="0" w:line="200" w:lineRule="exact"/>
        <w:rPr>
          <w:rFonts w:ascii="Arial" w:cs="Arial" w:eastAsia="Arial" w:hAnsi="Arial"/>
          <w:sz w:val="15"/>
          <w:szCs w:val="15"/>
          <w:color w:val="0000EE"/>
        </w:rPr>
      </w:pPr>
    </w:p>
    <w:p>
      <w:pPr>
        <w:spacing w:after="0" w:line="200" w:lineRule="exact"/>
        <w:rPr>
          <w:rFonts w:ascii="Arial" w:cs="Arial" w:eastAsia="Arial" w:hAnsi="Arial"/>
          <w:sz w:val="15"/>
          <w:szCs w:val="15"/>
          <w:color w:val="0000EE"/>
        </w:rPr>
      </w:pPr>
    </w:p>
    <w:p>
      <w:pPr>
        <w:spacing w:after="0" w:line="200" w:lineRule="exact"/>
        <w:rPr>
          <w:rFonts w:ascii="Arial" w:cs="Arial" w:eastAsia="Arial" w:hAnsi="Arial"/>
          <w:sz w:val="15"/>
          <w:szCs w:val="15"/>
          <w:color w:val="0000EE"/>
        </w:rPr>
      </w:pPr>
    </w:p>
    <w:p>
      <w:pPr>
        <w:spacing w:after="0" w:line="200" w:lineRule="exact"/>
        <w:rPr>
          <w:rFonts w:ascii="Arial" w:cs="Arial" w:eastAsia="Arial" w:hAnsi="Arial"/>
          <w:sz w:val="15"/>
          <w:szCs w:val="15"/>
          <w:color w:val="0000EE"/>
        </w:rPr>
      </w:pPr>
    </w:p>
    <w:p>
      <w:pPr>
        <w:spacing w:after="0" w:line="200" w:lineRule="exact"/>
        <w:rPr>
          <w:rFonts w:ascii="Arial" w:cs="Arial" w:eastAsia="Arial" w:hAnsi="Arial"/>
          <w:sz w:val="15"/>
          <w:szCs w:val="15"/>
          <w:color w:val="0000EE"/>
        </w:rPr>
      </w:pPr>
    </w:p>
    <w:p>
      <w:pPr>
        <w:spacing w:after="0" w:line="200" w:lineRule="exact"/>
        <w:rPr>
          <w:rFonts w:ascii="Arial" w:cs="Arial" w:eastAsia="Arial" w:hAnsi="Arial"/>
          <w:sz w:val="15"/>
          <w:szCs w:val="15"/>
          <w:color w:val="0000EE"/>
        </w:rPr>
      </w:pPr>
    </w:p>
    <w:p>
      <w:pPr>
        <w:spacing w:after="0" w:line="200" w:lineRule="exact"/>
        <w:rPr>
          <w:rFonts w:ascii="Arial" w:cs="Arial" w:eastAsia="Arial" w:hAnsi="Arial"/>
          <w:sz w:val="15"/>
          <w:szCs w:val="15"/>
          <w:color w:val="0000EE"/>
        </w:rPr>
      </w:pPr>
    </w:p>
    <w:p>
      <w:pPr>
        <w:spacing w:after="0" w:line="200" w:lineRule="exact"/>
        <w:rPr>
          <w:rFonts w:ascii="Arial" w:cs="Arial" w:eastAsia="Arial" w:hAnsi="Arial"/>
          <w:sz w:val="15"/>
          <w:szCs w:val="15"/>
          <w:color w:val="0000EE"/>
        </w:rPr>
      </w:pPr>
    </w:p>
    <w:p>
      <w:pPr>
        <w:spacing w:after="0" w:line="200" w:lineRule="exact"/>
        <w:rPr>
          <w:rFonts w:ascii="Arial" w:cs="Arial" w:eastAsia="Arial" w:hAnsi="Arial"/>
          <w:sz w:val="15"/>
          <w:szCs w:val="15"/>
          <w:color w:val="0000EE"/>
        </w:rPr>
      </w:pPr>
    </w:p>
    <w:p>
      <w:pPr>
        <w:spacing w:after="0" w:line="200" w:lineRule="exact"/>
        <w:rPr>
          <w:rFonts w:ascii="Arial" w:cs="Arial" w:eastAsia="Arial" w:hAnsi="Arial"/>
          <w:sz w:val="15"/>
          <w:szCs w:val="15"/>
          <w:color w:val="0000EE"/>
        </w:rPr>
      </w:pPr>
    </w:p>
    <w:p>
      <w:pPr>
        <w:spacing w:after="0" w:line="200" w:lineRule="exact"/>
        <w:rPr>
          <w:rFonts w:ascii="Arial" w:cs="Arial" w:eastAsia="Arial" w:hAnsi="Arial"/>
          <w:sz w:val="15"/>
          <w:szCs w:val="15"/>
          <w:color w:val="0000EE"/>
        </w:rPr>
      </w:pPr>
    </w:p>
    <w:p>
      <w:pPr>
        <w:spacing w:after="0" w:line="200" w:lineRule="exact"/>
        <w:rPr>
          <w:rFonts w:ascii="Arial" w:cs="Arial" w:eastAsia="Arial" w:hAnsi="Arial"/>
          <w:sz w:val="15"/>
          <w:szCs w:val="15"/>
          <w:color w:val="0000EE"/>
        </w:rPr>
      </w:pPr>
    </w:p>
    <w:p>
      <w:pPr>
        <w:spacing w:after="0" w:line="200" w:lineRule="exact"/>
        <w:rPr>
          <w:rFonts w:ascii="Arial" w:cs="Arial" w:eastAsia="Arial" w:hAnsi="Arial"/>
          <w:sz w:val="15"/>
          <w:szCs w:val="15"/>
          <w:color w:val="0000EE"/>
        </w:rPr>
      </w:pPr>
    </w:p>
    <w:p>
      <w:pPr>
        <w:spacing w:after="0" w:line="200" w:lineRule="exact"/>
        <w:rPr>
          <w:rFonts w:ascii="Arial" w:cs="Arial" w:eastAsia="Arial" w:hAnsi="Arial"/>
          <w:sz w:val="15"/>
          <w:szCs w:val="15"/>
          <w:color w:val="0000EE"/>
        </w:rPr>
      </w:pPr>
    </w:p>
    <w:p>
      <w:pPr>
        <w:spacing w:after="0" w:line="316" w:lineRule="exact"/>
        <w:rPr>
          <w:rFonts w:ascii="Arial" w:cs="Arial" w:eastAsia="Arial" w:hAnsi="Arial"/>
          <w:sz w:val="15"/>
          <w:szCs w:val="15"/>
          <w:color w:val="0000EE"/>
        </w:rPr>
      </w:pPr>
    </w:p>
    <w:p>
      <w:pPr>
        <w:jc w:val="center"/>
        <w:ind w:right="-360"/>
        <w:spacing w:after="0"/>
        <w:rPr>
          <w:sz w:val="20"/>
          <w:szCs w:val="20"/>
          <w:color w:val="auto"/>
        </w:rPr>
      </w:pPr>
      <w:r>
        <w:rPr>
          <w:rFonts w:ascii="Arial" w:cs="Arial" w:eastAsia="Arial" w:hAnsi="Arial"/>
          <w:sz w:val="17"/>
          <w:szCs w:val="17"/>
          <w:color w:val="auto"/>
        </w:rPr>
        <w:t>2</w:t>
      </w:r>
    </w:p>
    <w:p>
      <w:pPr>
        <w:spacing w:after="0" w:line="20" w:lineRule="exact"/>
        <w:rPr>
          <w:rFonts w:ascii="Arial" w:cs="Arial" w:eastAsia="Arial" w:hAnsi="Arial"/>
          <w:sz w:val="15"/>
          <w:szCs w:val="15"/>
          <w:color w:val="0000EE"/>
        </w:rPr>
      </w:pPr>
      <w:r>
        <w:rPr>
          <w:rFonts w:ascii="Arial" w:cs="Arial" w:eastAsia="Arial" w:hAnsi="Arial"/>
          <w:sz w:val="15"/>
          <w:szCs w:val="15"/>
          <w:color w:val="0000EE"/>
        </w:rPr>
        <w:drawing>
          <wp:anchor simplePos="0" relativeHeight="251657728" behindDoc="1" locked="0" layoutInCell="0" allowOverlap="1">
            <wp:simplePos x="0" y="0"/>
            <wp:positionH relativeFrom="column">
              <wp:posOffset>-8255</wp:posOffset>
            </wp:positionH>
            <wp:positionV relativeFrom="paragraph">
              <wp:posOffset>225425</wp:posOffset>
            </wp:positionV>
            <wp:extent cx="6271260"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extLst>
                    </a:blip>
                    <a:srcRect/>
                    <a:stretch>
                      <a:fillRect/>
                    </a:stretch>
                  </pic:blipFill>
                  <pic:spPr bwMode="auto">
                    <a:xfrm>
                      <a:off x="0" y="0"/>
                      <a:ext cx="6271260" cy="41275"/>
                    </a:xfrm>
                    <a:prstGeom prst="rect">
                      <a:avLst/>
                    </a:prstGeom>
                    <a:noFill/>
                  </pic:spPr>
                </pic:pic>
              </a:graphicData>
            </a:graphic>
          </wp:anchor>
        </w:drawing>
      </w:r>
    </w:p>
    <w:p>
      <w:pPr>
        <w:sectPr>
          <w:pgSz w:w="11900" w:h="16838" w:orient="portrait"/>
          <w:cols w:equalWidth="0" w:num="1">
            <w:col w:w="9439"/>
          </w:cols>
          <w:pgMar w:left="1020" w:top="132" w:right="1440" w:bottom="1440" w:gutter="0" w:footer="0" w:header="0"/>
        </w:sectPr>
      </w:pPr>
    </w:p>
    <w:bookmarkStart w:id="5" w:name="page6"/>
    <w:bookmarkEnd w:id="5"/>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420"/>
        <w:spacing w:after="0"/>
        <w:rPr>
          <w:sz w:val="20"/>
          <w:szCs w:val="20"/>
          <w:color w:val="auto"/>
        </w:rPr>
      </w:pPr>
      <w:r>
        <w:rPr>
          <w:rFonts w:ascii="Arial" w:cs="Arial" w:eastAsia="Arial" w:hAnsi="Arial"/>
          <w:sz w:val="17"/>
          <w:szCs w:val="17"/>
          <w:b w:val="1"/>
          <w:bCs w:val="1"/>
          <w:color w:val="auto"/>
        </w:rPr>
        <w:t>FORWARD-LOOKING STATEMENTS</w:t>
      </w:r>
    </w:p>
    <w:p>
      <w:pPr>
        <w:spacing w:after="0" w:line="131" w:lineRule="exact"/>
        <w:rPr>
          <w:sz w:val="20"/>
          <w:szCs w:val="20"/>
          <w:color w:val="auto"/>
        </w:rPr>
      </w:pPr>
    </w:p>
    <w:p>
      <w:pPr>
        <w:ind w:left="1160" w:right="799" w:firstLine="331"/>
        <w:spacing w:after="0" w:line="281" w:lineRule="auto"/>
        <w:rPr>
          <w:sz w:val="20"/>
          <w:szCs w:val="20"/>
          <w:color w:val="auto"/>
        </w:rPr>
      </w:pPr>
      <w:r>
        <w:rPr>
          <w:rFonts w:ascii="Arial" w:cs="Arial" w:eastAsia="Arial" w:hAnsi="Arial"/>
          <w:sz w:val="15"/>
          <w:szCs w:val="15"/>
          <w:color w:val="auto"/>
        </w:rPr>
        <w:t>This prospectus and the information incorporated by reference in this prospectus include “forward-looking statements” within the meaning of Section 27A of the Securities Act of 1933, as amended, or the Securities Act, and Section 21E of the Exchange Act. All statements, other than statements of historical facts, contained or incorporated by reference in this prospectus, including statements regarding our strategy, future operations, future financial position, future revenues, projected costs, prospects, plans and objectives of management, are forward-looking statements. The words “anticipate,” “believe,” “goals,” “estimate,” “expect,” “intend,” “may,” “might,” “plan,” “predict,” “project,” “target,” “potential,” “will,” “would,” “could,” “should,” “continue” and similar expressions are intended to identify forward-looking statements, although not all forward-looking statements contain these identifying words. These forward-looking statements include, but are not limited to, statements about:</w:t>
      </w:r>
    </w:p>
    <w:p>
      <w:pPr>
        <w:spacing w:after="0" w:line="64" w:lineRule="exact"/>
        <w:rPr>
          <w:sz w:val="20"/>
          <w:szCs w:val="20"/>
          <w:color w:val="auto"/>
        </w:rPr>
      </w:pPr>
    </w:p>
    <w:p>
      <w:pPr>
        <w:ind w:left="1640" w:right="1259" w:hanging="156"/>
        <w:spacing w:after="0" w:line="260" w:lineRule="auto"/>
        <w:tabs>
          <w:tab w:leader="none" w:pos="1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benefits of our business plan and strategy, including our goal to deliver treatment options for all stages of age-related macular degeneration (AMD);</w:t>
      </w:r>
    </w:p>
    <w:p>
      <w:pPr>
        <w:spacing w:after="0" w:line="84" w:lineRule="exact"/>
        <w:rPr>
          <w:rFonts w:ascii="Arial" w:cs="Arial" w:eastAsia="Arial" w:hAnsi="Arial"/>
          <w:sz w:val="17"/>
          <w:szCs w:val="17"/>
          <w:color w:val="auto"/>
        </w:rPr>
      </w:pPr>
    </w:p>
    <w:p>
      <w:pPr>
        <w:ind w:left="1640" w:right="759" w:hanging="156"/>
        <w:spacing w:after="0" w:line="249" w:lineRule="auto"/>
        <w:tabs>
          <w:tab w:leader="none" w:pos="1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impact of results from GATHER1, our completed Phase 3 clinical trial evaluating Zimura for the treatment of Geographic Atrophy (GA) secondary to AMD, on our business and regulatory strategy, including our plans to pursue development of Zimura in intermediate AMD;</w:t>
      </w:r>
    </w:p>
    <w:p>
      <w:pPr>
        <w:spacing w:after="0" w:line="81" w:lineRule="exact"/>
        <w:rPr>
          <w:rFonts w:ascii="Arial" w:cs="Arial" w:eastAsia="Arial" w:hAnsi="Arial"/>
          <w:sz w:val="17"/>
          <w:szCs w:val="17"/>
          <w:color w:val="auto"/>
        </w:rPr>
      </w:pPr>
    </w:p>
    <w:p>
      <w:pPr>
        <w:ind w:left="1640" w:right="839" w:hanging="156"/>
        <w:spacing w:after="0" w:line="286" w:lineRule="auto"/>
        <w:tabs>
          <w:tab w:leader="none" w:pos="164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timing, costs, conduct and outcome of GATHER2, our ongoing Phase 3 clinical trial evaluating Zimura for the treatment of GA secondary to AMD, including expectations regarding receipt of top-line data from the trial and regarding patient retention, and expectations regarding the potential for Zimura to receive regulatory approval for the treatment of GA secondary to AMD based on the clinical trial results we have received to date and the future results from the GATHER2 clinical trial and any other trials we or a potential collaborator may conduct;</w:t>
      </w:r>
    </w:p>
    <w:p>
      <w:pPr>
        <w:spacing w:after="0" w:line="56" w:lineRule="exact"/>
        <w:rPr>
          <w:rFonts w:ascii="Arial" w:cs="Arial" w:eastAsia="Arial" w:hAnsi="Arial"/>
          <w:sz w:val="15"/>
          <w:szCs w:val="15"/>
          <w:color w:val="auto"/>
        </w:rPr>
      </w:pPr>
    </w:p>
    <w:p>
      <w:pPr>
        <w:ind w:left="1640" w:right="839" w:hanging="156"/>
        <w:spacing w:after="0" w:line="252" w:lineRule="auto"/>
        <w:tabs>
          <w:tab w:leader="none" w:pos="1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and expectations for initiating a clinical trial evaluating Zimura for the treatment of intermediate AMD, and for evaluating, obtaining rights to and developing sustained release delivery technologies for Zimura;</w:t>
      </w:r>
    </w:p>
    <w:p>
      <w:pPr>
        <w:spacing w:after="0" w:line="78" w:lineRule="exact"/>
        <w:rPr>
          <w:rFonts w:ascii="Arial" w:cs="Arial" w:eastAsia="Arial" w:hAnsi="Arial"/>
          <w:sz w:val="17"/>
          <w:szCs w:val="17"/>
          <w:color w:val="auto"/>
        </w:rPr>
      </w:pPr>
    </w:p>
    <w:p>
      <w:pPr>
        <w:ind w:left="1640" w:right="979" w:hanging="156"/>
        <w:spacing w:after="0" w:line="249" w:lineRule="auto"/>
        <w:tabs>
          <w:tab w:leader="none" w:pos="1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and strategy for the potential commercialization of Zimura, including hiring of medical affairs and commercialization personnel, building a commercialization infrastructure, including sales, marketing and distribution capabilities, and our expectations regarding the market dynamics for treatments for GA and other commercial matters;</w:t>
      </w:r>
    </w:p>
    <w:p>
      <w:pPr>
        <w:spacing w:after="0" w:line="81" w:lineRule="exact"/>
        <w:rPr>
          <w:rFonts w:ascii="Arial" w:cs="Arial" w:eastAsia="Arial" w:hAnsi="Arial"/>
          <w:sz w:val="17"/>
          <w:szCs w:val="17"/>
          <w:color w:val="auto"/>
        </w:rPr>
      </w:pPr>
    </w:p>
    <w:p>
      <w:pPr>
        <w:ind w:left="1640" w:right="739" w:hanging="156"/>
        <w:spacing w:after="0" w:line="249" w:lineRule="auto"/>
        <w:tabs>
          <w:tab w:leader="none" w:pos="1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establish and maintain arrangements and capabilities for the manufacture of Zimura and our other product candidates, including scale up and validation of the manufacturing process for Zimura drug substance and securing the supply of Zimura drug product and the polyethylene glycol (PEG) starting material for our expected needs;</w:t>
      </w:r>
    </w:p>
    <w:p>
      <w:pPr>
        <w:spacing w:after="0" w:line="81" w:lineRule="exact"/>
        <w:rPr>
          <w:rFonts w:ascii="Arial" w:cs="Arial" w:eastAsia="Arial" w:hAnsi="Arial"/>
          <w:sz w:val="17"/>
          <w:szCs w:val="17"/>
          <w:color w:val="auto"/>
        </w:rPr>
      </w:pPr>
    </w:p>
    <w:p>
      <w:pPr>
        <w:ind w:left="1640" w:right="879" w:hanging="156"/>
        <w:spacing w:after="0" w:line="252" w:lineRule="auto"/>
        <w:tabs>
          <w:tab w:leader="none" w:pos="1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costs, conduct and outcome of STAR, our ongoing Phase 2b screening trial evaluating Zimura for the treatment of autosomal recessive Stargardt disease, including expectations regarding the recruitment of additional patients for this trial;</w:t>
      </w:r>
    </w:p>
    <w:p>
      <w:pPr>
        <w:spacing w:after="0" w:line="78" w:lineRule="exact"/>
        <w:rPr>
          <w:rFonts w:ascii="Arial" w:cs="Arial" w:eastAsia="Arial" w:hAnsi="Arial"/>
          <w:sz w:val="17"/>
          <w:szCs w:val="17"/>
          <w:color w:val="auto"/>
        </w:rPr>
      </w:pPr>
    </w:p>
    <w:p>
      <w:pPr>
        <w:ind w:left="1640" w:right="879" w:hanging="156"/>
        <w:spacing w:after="0" w:line="249" w:lineRule="auto"/>
        <w:tabs>
          <w:tab w:leader="none" w:pos="1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actual and expected effects of the COVID-19 pandemic and related response measures on our business and operations, including the timing, costs, conduct and outcome of our research and development programs, our supply chain, the work of our third-party vendors and collaborators, the work and well-being of our employees, and our financial position;</w:t>
      </w:r>
    </w:p>
    <w:p>
      <w:pPr>
        <w:spacing w:after="0" w:line="81" w:lineRule="exact"/>
        <w:rPr>
          <w:rFonts w:ascii="Arial" w:cs="Arial" w:eastAsia="Arial" w:hAnsi="Arial"/>
          <w:sz w:val="17"/>
          <w:szCs w:val="17"/>
          <w:color w:val="auto"/>
        </w:rPr>
      </w:pPr>
    </w:p>
    <w:p>
      <w:pPr>
        <w:ind w:left="1640" w:hanging="156"/>
        <w:spacing w:after="0"/>
        <w:tabs>
          <w:tab w:leader="none" w:pos="1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related to our use of available cash;</w:t>
      </w:r>
    </w:p>
    <w:p>
      <w:pPr>
        <w:spacing w:after="0" w:line="102" w:lineRule="exact"/>
        <w:rPr>
          <w:rFonts w:ascii="Arial" w:cs="Arial" w:eastAsia="Arial" w:hAnsi="Arial"/>
          <w:sz w:val="17"/>
          <w:szCs w:val="17"/>
          <w:color w:val="auto"/>
        </w:rPr>
      </w:pPr>
    </w:p>
    <w:p>
      <w:pPr>
        <w:ind w:left="1640" w:right="859" w:hanging="156"/>
        <w:spacing w:after="0" w:line="260" w:lineRule="auto"/>
        <w:tabs>
          <w:tab w:leader="none" w:pos="1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regarding expenses, future revenues, capital requirements and needs for, and ability to obtain, additional financing;</w:t>
      </w:r>
    </w:p>
    <w:p>
      <w:pPr>
        <w:spacing w:after="0" w:line="72" w:lineRule="exact"/>
        <w:rPr>
          <w:rFonts w:ascii="Arial" w:cs="Arial" w:eastAsia="Arial" w:hAnsi="Arial"/>
          <w:sz w:val="17"/>
          <w:szCs w:val="17"/>
          <w:color w:val="auto"/>
        </w:rPr>
      </w:pPr>
    </w:p>
    <w:p>
      <w:pPr>
        <w:ind w:left="1640" w:right="839" w:hanging="156"/>
        <w:spacing w:after="0" w:line="288" w:lineRule="auto"/>
        <w:tabs>
          <w:tab w:leader="none" w:pos="164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plans and ability to consummate business development transactions, including potential collaboration opportunities for further development and potential commercialization of Zimura and potential collaboration or out-licensing opportunities for further development of IC-100 and IC-200, and in-licenses or other opportunities to acquire rights to additional product candidates or technologies to treat retinal diseases, including sustained release delivery technologies for Zimura;</w:t>
      </w:r>
    </w:p>
    <w:p>
      <w:pPr>
        <w:spacing w:after="0" w:line="317"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233680</wp:posOffset>
            </wp:positionV>
            <wp:extent cx="627126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extLst>
                    </a:blip>
                    <a:srcRect/>
                    <a:stretch>
                      <a:fillRect/>
                    </a:stretch>
                  </pic:blipFill>
                  <pic:spPr bwMode="auto">
                    <a:xfrm>
                      <a:off x="0" y="0"/>
                      <a:ext cx="6271260" cy="41275"/>
                    </a:xfrm>
                    <a:prstGeom prst="rect">
                      <a:avLst/>
                    </a:prstGeom>
                    <a:noFill/>
                  </pic:spPr>
                </pic:pic>
              </a:graphicData>
            </a:graphic>
          </wp:anchor>
        </w:drawing>
      </w:r>
    </w:p>
    <w:p>
      <w:pPr>
        <w:sectPr>
          <w:pgSz w:w="11900" w:h="16838" w:orient="portrait"/>
          <w:cols w:equalWidth="0" w:num="1">
            <w:col w:w="9439"/>
          </w:cols>
          <w:pgMar w:left="1020" w:top="131" w:right="1440" w:bottom="1440" w:gutter="0" w:footer="0" w:header="0"/>
        </w:sectPr>
      </w:pPr>
    </w:p>
    <w:bookmarkStart w:id="6" w:name="page7"/>
    <w:bookmarkEnd w:id="6"/>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640" w:right="959" w:hanging="156"/>
        <w:spacing w:after="0" w:line="249" w:lineRule="auto"/>
        <w:tabs>
          <w:tab w:leader="none" w:pos="1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timing, costs, conduct and outcome of our ongoing and planned clinical trials, including statements regarding the timing of the initiation and completion of, and the receipt of results from, such clinical trials, the costs to conduct such clinical trials, and the impact of the results of such clinical trials on our business strategy;</w:t>
      </w:r>
    </w:p>
    <w:p>
      <w:pPr>
        <w:spacing w:after="0" w:line="81" w:lineRule="exact"/>
        <w:rPr>
          <w:rFonts w:ascii="Arial" w:cs="Arial" w:eastAsia="Arial" w:hAnsi="Arial"/>
          <w:sz w:val="17"/>
          <w:szCs w:val="17"/>
          <w:color w:val="auto"/>
        </w:rPr>
      </w:pPr>
    </w:p>
    <w:p>
      <w:pPr>
        <w:ind w:left="1640" w:right="779" w:hanging="156"/>
        <w:spacing w:after="0" w:line="249" w:lineRule="auto"/>
        <w:tabs>
          <w:tab w:leader="none" w:pos="1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timing, costs, conduct and outcome of our ongoing and planned research and preclinical development activities, including statements regarding the timing of the initiation and completion of, and the receipt of results from, such activities, the costs to conduct such activities, and the impact of the results of such activities on our business strategy;</w:t>
      </w:r>
    </w:p>
    <w:p>
      <w:pPr>
        <w:spacing w:after="0" w:line="81" w:lineRule="exact"/>
        <w:rPr>
          <w:rFonts w:ascii="Arial" w:cs="Arial" w:eastAsia="Arial" w:hAnsi="Arial"/>
          <w:sz w:val="17"/>
          <w:szCs w:val="17"/>
          <w:color w:val="auto"/>
        </w:rPr>
      </w:pPr>
    </w:p>
    <w:p>
      <w:pPr>
        <w:ind w:left="1640" w:right="1179" w:hanging="156"/>
        <w:spacing w:after="0" w:line="252" w:lineRule="auto"/>
        <w:tabs>
          <w:tab w:leader="none" w:pos="1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timing of and our ability to submit investigational new drug applications for, and to obtain marketing approval of our product candidates, and the ability of our product candidates to meet existing or future regulatory standards;</w:t>
      </w:r>
    </w:p>
    <w:p>
      <w:pPr>
        <w:spacing w:after="0" w:line="78" w:lineRule="exact"/>
        <w:rPr>
          <w:rFonts w:ascii="Arial" w:cs="Arial" w:eastAsia="Arial" w:hAnsi="Arial"/>
          <w:sz w:val="17"/>
          <w:szCs w:val="17"/>
          <w:color w:val="auto"/>
        </w:rPr>
      </w:pPr>
    </w:p>
    <w:p>
      <w:pPr>
        <w:ind w:left="1640" w:right="779" w:hanging="156"/>
        <w:spacing w:after="0" w:line="249" w:lineRule="auto"/>
        <w:tabs>
          <w:tab w:leader="none" w:pos="1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potential advantages of our product candidates and other technologies that we are pursuing, including our hypotheses regarding complement factor C5 inhibition and HtrA1 inhibition as potentially relevant mechanisms of action to treat GA and other stages of AMD, and of gene therapy, including the use of minigenes;</w:t>
      </w:r>
    </w:p>
    <w:p>
      <w:pPr>
        <w:spacing w:after="0" w:line="81" w:lineRule="exact"/>
        <w:rPr>
          <w:rFonts w:ascii="Arial" w:cs="Arial" w:eastAsia="Arial" w:hAnsi="Arial"/>
          <w:sz w:val="17"/>
          <w:szCs w:val="17"/>
          <w:color w:val="auto"/>
        </w:rPr>
      </w:pPr>
    </w:p>
    <w:p>
      <w:pPr>
        <w:ind w:left="1640" w:right="959" w:hanging="156"/>
        <w:spacing w:after="0" w:line="260" w:lineRule="auto"/>
        <w:tabs>
          <w:tab w:leader="none" w:pos="1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estimates regarding the number of patients affected by the diseases our product candidates and development programs are intended to treat;</w:t>
      </w:r>
    </w:p>
    <w:p>
      <w:pPr>
        <w:spacing w:after="0" w:line="72" w:lineRule="exact"/>
        <w:rPr>
          <w:rFonts w:ascii="Arial" w:cs="Arial" w:eastAsia="Arial" w:hAnsi="Arial"/>
          <w:sz w:val="17"/>
          <w:szCs w:val="17"/>
          <w:color w:val="auto"/>
        </w:rPr>
      </w:pPr>
    </w:p>
    <w:p>
      <w:pPr>
        <w:ind w:left="1640" w:hanging="156"/>
        <w:spacing w:after="0"/>
        <w:tabs>
          <w:tab w:leader="none" w:pos="1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estimates regarding the potential market opportunity for our product candidates;</w:t>
      </w:r>
    </w:p>
    <w:p>
      <w:pPr>
        <w:spacing w:after="0" w:line="102" w:lineRule="exact"/>
        <w:rPr>
          <w:rFonts w:ascii="Arial" w:cs="Arial" w:eastAsia="Arial" w:hAnsi="Arial"/>
          <w:sz w:val="17"/>
          <w:szCs w:val="17"/>
          <w:color w:val="auto"/>
        </w:rPr>
      </w:pPr>
    </w:p>
    <w:p>
      <w:pPr>
        <w:ind w:left="1640" w:right="979" w:hanging="156"/>
        <w:spacing w:after="0" w:line="260" w:lineRule="auto"/>
        <w:tabs>
          <w:tab w:leader="none" w:pos="1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rate and degree of potential market acceptance and clinical utility of our product candidates, if approved;</w:t>
      </w:r>
    </w:p>
    <w:p>
      <w:pPr>
        <w:spacing w:after="0" w:line="72" w:lineRule="exact"/>
        <w:rPr>
          <w:rFonts w:ascii="Arial" w:cs="Arial" w:eastAsia="Arial" w:hAnsi="Arial"/>
          <w:sz w:val="17"/>
          <w:szCs w:val="17"/>
          <w:color w:val="auto"/>
        </w:rPr>
      </w:pPr>
    </w:p>
    <w:p>
      <w:pPr>
        <w:ind w:left="1640" w:hanging="156"/>
        <w:spacing w:after="0"/>
        <w:tabs>
          <w:tab w:leader="none" w:pos="1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potential receipt of revenues from future sales of our product candidates, if approved;</w:t>
      </w:r>
    </w:p>
    <w:p>
      <w:pPr>
        <w:spacing w:after="0" w:line="102" w:lineRule="exact"/>
        <w:rPr>
          <w:rFonts w:ascii="Arial" w:cs="Arial" w:eastAsia="Arial" w:hAnsi="Arial"/>
          <w:sz w:val="17"/>
          <w:szCs w:val="17"/>
          <w:color w:val="auto"/>
        </w:rPr>
      </w:pPr>
    </w:p>
    <w:p>
      <w:pPr>
        <w:ind w:left="1640" w:hanging="156"/>
        <w:spacing w:after="0"/>
        <w:tabs>
          <w:tab w:leader="none" w:pos="1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personnel and human capital resources;</w:t>
      </w:r>
    </w:p>
    <w:p>
      <w:pPr>
        <w:spacing w:after="0" w:line="102" w:lineRule="exact"/>
        <w:rPr>
          <w:rFonts w:ascii="Arial" w:cs="Arial" w:eastAsia="Arial" w:hAnsi="Arial"/>
          <w:sz w:val="17"/>
          <w:szCs w:val="17"/>
          <w:color w:val="auto"/>
        </w:rPr>
      </w:pPr>
    </w:p>
    <w:p>
      <w:pPr>
        <w:ind w:left="1640" w:hanging="156"/>
        <w:spacing w:after="0"/>
        <w:tabs>
          <w:tab w:leader="none" w:pos="1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intellectual property position;</w:t>
      </w:r>
    </w:p>
    <w:p>
      <w:pPr>
        <w:spacing w:after="0" w:line="102" w:lineRule="exact"/>
        <w:rPr>
          <w:rFonts w:ascii="Arial" w:cs="Arial" w:eastAsia="Arial" w:hAnsi="Arial"/>
          <w:sz w:val="17"/>
          <w:szCs w:val="17"/>
          <w:color w:val="auto"/>
        </w:rPr>
      </w:pPr>
    </w:p>
    <w:p>
      <w:pPr>
        <w:ind w:left="1640" w:hanging="156"/>
        <w:spacing w:after="0"/>
        <w:tabs>
          <w:tab w:leader="none" w:pos="1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existing and new governmental laws and regulations; and</w:t>
      </w:r>
    </w:p>
    <w:p>
      <w:pPr>
        <w:spacing w:after="0" w:line="102" w:lineRule="exact"/>
        <w:rPr>
          <w:rFonts w:ascii="Arial" w:cs="Arial" w:eastAsia="Arial" w:hAnsi="Arial"/>
          <w:sz w:val="17"/>
          <w:szCs w:val="17"/>
          <w:color w:val="auto"/>
        </w:rPr>
      </w:pPr>
    </w:p>
    <w:p>
      <w:pPr>
        <w:ind w:left="1640" w:hanging="156"/>
        <w:spacing w:after="0"/>
        <w:tabs>
          <w:tab w:leader="none" w:pos="1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competitive position.</w:t>
      </w:r>
    </w:p>
    <w:p>
      <w:pPr>
        <w:spacing w:after="0" w:line="127" w:lineRule="exact"/>
        <w:rPr>
          <w:sz w:val="20"/>
          <w:szCs w:val="20"/>
          <w:color w:val="auto"/>
        </w:rPr>
      </w:pPr>
    </w:p>
    <w:p>
      <w:pPr>
        <w:ind w:left="1160" w:right="839" w:firstLine="331"/>
        <w:spacing w:after="0" w:line="281" w:lineRule="auto"/>
        <w:rPr>
          <w:sz w:val="20"/>
          <w:szCs w:val="20"/>
          <w:color w:val="auto"/>
        </w:rPr>
      </w:pPr>
      <w:r>
        <w:rPr>
          <w:rFonts w:ascii="Arial" w:cs="Arial" w:eastAsia="Arial" w:hAnsi="Arial"/>
          <w:sz w:val="15"/>
          <w:szCs w:val="15"/>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prospectus, particularly under the heading “Risk Factors,” under the heading “Summary of Principal Risk Factors” in our Annual Report on Form 10-K for the fiscal year ended December 31, 2020, the risk factors detailed in Item 1A, “Risk Factors” of Part 1 of our Annual Report on Form 10-K and in our SEC reports filed after this prospectus, that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01" w:lineRule="exact"/>
        <w:rPr>
          <w:sz w:val="20"/>
          <w:szCs w:val="20"/>
          <w:color w:val="auto"/>
        </w:rPr>
      </w:pPr>
    </w:p>
    <w:p>
      <w:pPr>
        <w:ind w:left="1160" w:right="899" w:firstLine="331"/>
        <w:spacing w:after="0" w:line="286" w:lineRule="auto"/>
        <w:rPr>
          <w:sz w:val="20"/>
          <w:szCs w:val="20"/>
          <w:color w:val="auto"/>
        </w:rPr>
      </w:pPr>
      <w:r>
        <w:rPr>
          <w:rFonts w:ascii="Arial" w:cs="Arial" w:eastAsia="Arial" w:hAnsi="Arial"/>
          <w:sz w:val="15"/>
          <w:szCs w:val="15"/>
          <w:color w:val="auto"/>
        </w:rPr>
        <w:t>You should read this prospectus, the documents incorporated by reference in this prospectus and the documents that we have filed as exhibits to the registration statement of which this prospectus is part completely and with the understanding that our actual future results may be materially different from what we expect. The forward-looking statements contained in this prospectus are made as of the date of this prospectus, and we do not assume any obligation to update any forward-looking statements, whether as a result of new information, future events or otherwise, except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225425</wp:posOffset>
            </wp:positionV>
            <wp:extent cx="627126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extLst>
                    </a:blip>
                    <a:srcRect/>
                    <a:stretch>
                      <a:fillRect/>
                    </a:stretch>
                  </pic:blipFill>
                  <pic:spPr bwMode="auto">
                    <a:xfrm>
                      <a:off x="0" y="0"/>
                      <a:ext cx="6271260" cy="41275"/>
                    </a:xfrm>
                    <a:prstGeom prst="rect">
                      <a:avLst/>
                    </a:prstGeom>
                    <a:noFill/>
                  </pic:spPr>
                </pic:pic>
              </a:graphicData>
            </a:graphic>
          </wp:anchor>
        </w:drawing>
      </w:r>
    </w:p>
    <w:p>
      <w:pPr>
        <w:sectPr>
          <w:pgSz w:w="11900" w:h="16838" w:orient="portrait"/>
          <w:cols w:equalWidth="0" w:num="1">
            <w:col w:w="9439"/>
          </w:cols>
          <w:pgMar w:left="1020" w:top="131" w:right="1440" w:bottom="1440" w:gutter="0" w:footer="0" w:header="0"/>
        </w:sectPr>
      </w:pPr>
    </w:p>
    <w:bookmarkStart w:id="7" w:name="page8"/>
    <w:bookmarkEnd w:id="7"/>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420"/>
        <w:spacing w:after="0"/>
        <w:rPr>
          <w:sz w:val="20"/>
          <w:szCs w:val="20"/>
          <w:color w:val="auto"/>
        </w:rPr>
      </w:pPr>
      <w:r>
        <w:rPr>
          <w:rFonts w:ascii="Arial" w:cs="Arial" w:eastAsia="Arial" w:hAnsi="Arial"/>
          <w:sz w:val="17"/>
          <w:szCs w:val="17"/>
          <w:b w:val="1"/>
          <w:bCs w:val="1"/>
          <w:color w:val="auto"/>
        </w:rPr>
        <w:t>IVERIC BIO, INC.</w:t>
      </w:r>
    </w:p>
    <w:p>
      <w:pPr>
        <w:spacing w:after="0" w:line="131" w:lineRule="exact"/>
        <w:rPr>
          <w:sz w:val="20"/>
          <w:szCs w:val="20"/>
          <w:color w:val="auto"/>
        </w:rPr>
      </w:pPr>
    </w:p>
    <w:p>
      <w:pPr>
        <w:ind w:left="1160" w:right="999" w:firstLine="331"/>
        <w:spacing w:after="0" w:line="249" w:lineRule="auto"/>
        <w:rPr>
          <w:sz w:val="20"/>
          <w:szCs w:val="20"/>
          <w:color w:val="auto"/>
        </w:rPr>
      </w:pPr>
      <w:r>
        <w:rPr>
          <w:rFonts w:ascii="Arial" w:cs="Arial" w:eastAsia="Arial" w:hAnsi="Arial"/>
          <w:sz w:val="17"/>
          <w:szCs w:val="17"/>
          <w:color w:val="auto"/>
        </w:rPr>
        <w:t>We are a science-driven biopharmaceutical company focused on the discovery and development of novel treatments for retinal diseases with significant unmet medical needs. We are committed to having a positive impact on patients’ lives by delivering high-quality, safe and effective treatments designed to address debilitating retina diseases including all stages of AMD.</w:t>
      </w:r>
    </w:p>
    <w:p>
      <w:pPr>
        <w:spacing w:after="0" w:line="119" w:lineRule="exact"/>
        <w:rPr>
          <w:sz w:val="20"/>
          <w:szCs w:val="20"/>
          <w:color w:val="auto"/>
        </w:rPr>
      </w:pPr>
    </w:p>
    <w:p>
      <w:pPr>
        <w:ind w:left="1160" w:right="899" w:firstLine="331"/>
        <w:spacing w:after="0" w:line="260" w:lineRule="auto"/>
        <w:rPr>
          <w:sz w:val="20"/>
          <w:szCs w:val="20"/>
          <w:color w:val="auto"/>
        </w:rPr>
      </w:pPr>
      <w:r>
        <w:rPr>
          <w:rFonts w:ascii="Arial" w:cs="Arial" w:eastAsia="Arial" w:hAnsi="Arial"/>
          <w:sz w:val="17"/>
          <w:szCs w:val="17"/>
          <w:color w:val="auto"/>
        </w:rPr>
        <w:t>Our principal executive offices are located at Five Penn Plaza, Suite 2372, New York, NY 10001, and our telephone number is (212) 845-8200.</w:t>
      </w:r>
    </w:p>
    <w:p>
      <w:pPr>
        <w:spacing w:after="0" w:line="168" w:lineRule="exact"/>
        <w:rPr>
          <w:sz w:val="20"/>
          <w:szCs w:val="20"/>
          <w:color w:val="auto"/>
        </w:rPr>
      </w:pPr>
    </w:p>
    <w:p>
      <w:pPr>
        <w:jc w:val="center"/>
        <w:ind w:right="-420"/>
        <w:spacing w:after="0"/>
        <w:rPr>
          <w:sz w:val="20"/>
          <w:szCs w:val="20"/>
          <w:color w:val="auto"/>
        </w:rPr>
      </w:pPr>
      <w:r>
        <w:rPr>
          <w:rFonts w:ascii="Arial" w:cs="Arial" w:eastAsia="Arial" w:hAnsi="Arial"/>
          <w:sz w:val="17"/>
          <w:szCs w:val="17"/>
          <w:b w:val="1"/>
          <w:bCs w:val="1"/>
          <w:color w:val="auto"/>
        </w:rPr>
        <w:t>USE OF PROCEEDS</w:t>
      </w:r>
    </w:p>
    <w:p>
      <w:pPr>
        <w:spacing w:after="0" w:line="143" w:lineRule="exact"/>
        <w:rPr>
          <w:sz w:val="20"/>
          <w:szCs w:val="20"/>
          <w:color w:val="auto"/>
        </w:rPr>
      </w:pPr>
    </w:p>
    <w:p>
      <w:pPr>
        <w:ind w:left="1160" w:right="799" w:firstLine="331"/>
        <w:spacing w:after="0" w:line="281" w:lineRule="auto"/>
        <w:rPr>
          <w:sz w:val="20"/>
          <w:szCs w:val="20"/>
          <w:color w:val="auto"/>
        </w:rPr>
      </w:pPr>
      <w:r>
        <w:rPr>
          <w:rFonts w:ascii="Arial" w:cs="Arial" w:eastAsia="Arial" w:hAnsi="Arial"/>
          <w:sz w:val="15"/>
          <w:szCs w:val="15"/>
          <w:color w:val="auto"/>
        </w:rPr>
        <w:t>We intend to use the net proceeds from the sale of any securities offered under this prospectus for general corporate purposes unless otherwise indicated in the applicable prospectus supplement. General corporate purposes may include research and development costs, costs for potential pre-commercialization or commercialization activities, payment of milestones and other contractual obligations, the acquisition or in-license of other products, product candidates, businesses or technologies, repayment and refinancing of debt, working capital and capital expenditures. We may temporarily invest the net proceeds in a variety of capital preservation instruments, including short-term, investment grade, interest bearing instruments and U.S. government securities, until they are used for their stated purpose. We have not determined the amount of net proceeds to be used specifically for such purposes. As a result, management will retain broad discretion over the allocation of the net proceeds of any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225425</wp:posOffset>
            </wp:positionV>
            <wp:extent cx="627126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extLst>
                    </a:blip>
                    <a:srcRect/>
                    <a:stretch>
                      <a:fillRect/>
                    </a:stretch>
                  </pic:blipFill>
                  <pic:spPr bwMode="auto">
                    <a:xfrm>
                      <a:off x="0" y="0"/>
                      <a:ext cx="6271260" cy="41275"/>
                    </a:xfrm>
                    <a:prstGeom prst="rect">
                      <a:avLst/>
                    </a:prstGeom>
                    <a:noFill/>
                  </pic:spPr>
                </pic:pic>
              </a:graphicData>
            </a:graphic>
          </wp:anchor>
        </w:drawing>
      </w:r>
    </w:p>
    <w:p>
      <w:pPr>
        <w:sectPr>
          <w:pgSz w:w="11900" w:h="16838" w:orient="portrait"/>
          <w:cols w:equalWidth="0" w:num="1">
            <w:col w:w="9439"/>
          </w:cols>
          <w:pgMar w:left="1020" w:top="131" w:right="1440" w:bottom="1440" w:gutter="0" w:footer="0" w:header="0"/>
        </w:sectPr>
      </w:pPr>
    </w:p>
    <w:bookmarkStart w:id="8" w:name="page9"/>
    <w:bookmarkEnd w:id="8"/>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auto"/>
        </w:rPr>
        <w:t>DESCRIPTION OF DEBT SECURITIES</w:t>
      </w:r>
    </w:p>
    <w:p>
      <w:pPr>
        <w:spacing w:after="0" w:line="131" w:lineRule="exact"/>
        <w:rPr>
          <w:sz w:val="20"/>
          <w:szCs w:val="20"/>
          <w:color w:val="auto"/>
        </w:rPr>
      </w:pPr>
    </w:p>
    <w:p>
      <w:pPr>
        <w:ind w:left="1160" w:right="839" w:firstLine="331"/>
        <w:spacing w:after="0" w:line="283" w:lineRule="auto"/>
        <w:rPr>
          <w:sz w:val="20"/>
          <w:szCs w:val="20"/>
          <w:color w:val="auto"/>
        </w:rPr>
      </w:pPr>
      <w:r>
        <w:rPr>
          <w:rFonts w:ascii="Arial" w:cs="Arial" w:eastAsia="Arial" w:hAnsi="Arial"/>
          <w:sz w:val="15"/>
          <w:szCs w:val="15"/>
          <w:color w:val="auto"/>
        </w:rPr>
        <w:t>We may offer debt securities, which may be senior or subordinated. We refer to the senior debt securities and the subordinated debt securities collectively as debt securities. The following description summarizes the general terms and provisions of the debt securities that IVERIC bio, Inc. may offer and sell from time to time. We will describe the specific terms of the debt securities and to the extent, if any, to which the general provisions summarized below apply to any series of debt securities in the prospectus supplement relating to the series and any applicable free writing prospectus that we authorize to be delivered. When we refer to “the Company,” “we,” “our,” and “us” in this section, we mean IVERIC bio, Inc. excluding, unless the context otherwise requires or as otherwise expressly stated, our subsidiaries.</w:t>
      </w:r>
    </w:p>
    <w:p>
      <w:pPr>
        <w:spacing w:after="0" w:line="97" w:lineRule="exact"/>
        <w:rPr>
          <w:sz w:val="20"/>
          <w:szCs w:val="20"/>
          <w:color w:val="auto"/>
        </w:rPr>
      </w:pPr>
    </w:p>
    <w:p>
      <w:pPr>
        <w:ind w:left="1160" w:right="779" w:firstLine="331"/>
        <w:spacing w:after="0" w:line="280" w:lineRule="auto"/>
        <w:rPr>
          <w:sz w:val="20"/>
          <w:szCs w:val="20"/>
          <w:color w:val="auto"/>
        </w:rPr>
      </w:pPr>
      <w:r>
        <w:rPr>
          <w:rFonts w:ascii="Arial" w:cs="Arial" w:eastAsia="Arial" w:hAnsi="Arial"/>
          <w:sz w:val="15"/>
          <w:szCs w:val="15"/>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The senior indenture and the subordinated indenture are referred to individually as an indenture and together as the indentures, and the senior trustee and the subordinated trustee are referred to individually as a trustee and together as the trustees. This section summarizes some of the provisions of the indentures and is qualified in its entirety by the specific text of the indentures, including definitions of terms used in the indentures. Wherever we refer to particular sections of, or defined terms in,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w:t>
      </w:r>
    </w:p>
    <w:p>
      <w:pPr>
        <w:spacing w:after="0" w:line="97" w:lineRule="exact"/>
        <w:rPr>
          <w:sz w:val="20"/>
          <w:szCs w:val="20"/>
          <w:color w:val="auto"/>
        </w:rPr>
      </w:pPr>
    </w:p>
    <w:p>
      <w:pPr>
        <w:jc w:val="both"/>
        <w:ind w:left="1160" w:right="839" w:firstLine="331"/>
        <w:spacing w:after="0" w:line="249" w:lineRule="auto"/>
        <w:rPr>
          <w:sz w:val="20"/>
          <w:szCs w:val="20"/>
          <w:color w:val="auto"/>
        </w:rPr>
      </w:pPr>
      <w:r>
        <w:rPr>
          <w:rFonts w:ascii="Arial" w:cs="Arial" w:eastAsia="Arial" w:hAnsi="Arial"/>
          <w:sz w:val="17"/>
          <w:szCs w:val="17"/>
          <w:color w:val="auto"/>
        </w:rPr>
        <w:t>Neither indenture will limit the amount of debt securities that we may issue. The applicable indenture will provide that debt securities may be issued up to an aggregate principal amount authorized from time to time by us and may be payable in any currency or currency unit designated by us or in amounts determined by reference to an index.</w:t>
      </w:r>
    </w:p>
    <w:p>
      <w:pPr>
        <w:spacing w:after="0" w:line="177"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General</w:t>
      </w:r>
    </w:p>
    <w:p>
      <w:pPr>
        <w:spacing w:after="0" w:line="131" w:lineRule="exact"/>
        <w:rPr>
          <w:sz w:val="20"/>
          <w:szCs w:val="20"/>
          <w:color w:val="auto"/>
        </w:rPr>
      </w:pPr>
    </w:p>
    <w:p>
      <w:pPr>
        <w:ind w:left="1160" w:right="879" w:firstLine="331"/>
        <w:spacing w:after="0" w:line="284" w:lineRule="auto"/>
        <w:rPr>
          <w:sz w:val="20"/>
          <w:szCs w:val="20"/>
          <w:color w:val="auto"/>
        </w:rPr>
      </w:pPr>
      <w:r>
        <w:rPr>
          <w:rFonts w:ascii="Arial" w:cs="Arial" w:eastAsia="Arial" w:hAnsi="Arial"/>
          <w:sz w:val="15"/>
          <w:szCs w:val="15"/>
          <w:color w:val="auto"/>
        </w:rPr>
        <w:t>The senior debt securities will constitute our unsecured and unsubordinated general obligations and will rank equally in right of payment with our other unsecured and unsubordinated obligations. The subordinated debt securities will constitute our unsecured and subordinated general obligations and will be junior in right of payment to our senior indebtedness (including senior debt securities), as described under the heading “ — Certain Terms of the Subordinated Debt Securities — Subordination.” The debt securities will be structurally subordinated to all existing and future indebtedness and other liabilities of our subsidiaries unless such subsidiaries expressly guarantee such debt securities.</w:t>
      </w:r>
    </w:p>
    <w:p>
      <w:pPr>
        <w:spacing w:after="0" w:line="97" w:lineRule="exact"/>
        <w:rPr>
          <w:sz w:val="20"/>
          <w:szCs w:val="20"/>
          <w:color w:val="auto"/>
        </w:rPr>
      </w:pPr>
    </w:p>
    <w:p>
      <w:pPr>
        <w:ind w:left="1160" w:right="879" w:firstLine="331"/>
        <w:spacing w:after="0" w:line="249" w:lineRule="auto"/>
        <w:rPr>
          <w:sz w:val="20"/>
          <w:szCs w:val="20"/>
          <w:color w:val="auto"/>
        </w:rPr>
      </w:pPr>
      <w:r>
        <w:rPr>
          <w:rFonts w:ascii="Arial" w:cs="Arial" w:eastAsia="Arial" w:hAnsi="Arial"/>
          <w:sz w:val="17"/>
          <w:szCs w:val="17"/>
          <w:color w:val="auto"/>
        </w:rPr>
        <w:t>The debt securities will be our unsecured obligations. Any secured debt or other secured obligations will be effectively senior to the debt securities to the extent of the value of the assets securing such debt or other obligations. Unless otherwise indicated in the applicable prospectus supplement, the debt securities will not be guaranteed by any of our subsidiaries.</w:t>
      </w:r>
    </w:p>
    <w:p>
      <w:pPr>
        <w:spacing w:after="0" w:line="119" w:lineRule="exact"/>
        <w:rPr>
          <w:sz w:val="20"/>
          <w:szCs w:val="20"/>
          <w:color w:val="auto"/>
        </w:rPr>
      </w:pPr>
    </w:p>
    <w:p>
      <w:pPr>
        <w:ind w:left="1160" w:right="1079" w:firstLine="331"/>
        <w:spacing w:after="0" w:line="327" w:lineRule="auto"/>
        <w:rPr>
          <w:sz w:val="20"/>
          <w:szCs w:val="20"/>
          <w:color w:val="auto"/>
        </w:rPr>
      </w:pPr>
      <w:r>
        <w:rPr>
          <w:rFonts w:ascii="Arial" w:cs="Arial" w:eastAsia="Arial" w:hAnsi="Arial"/>
          <w:sz w:val="15"/>
          <w:szCs w:val="15"/>
          <w:color w:val="auto"/>
        </w:rPr>
        <w:t>The applicable prospectus supplement and/or free writing prospectus will include any additional or different terms of the debt securities of any series being offered, including the following terms:</w:t>
      </w:r>
    </w:p>
    <w:p>
      <w:pPr>
        <w:spacing w:after="0" w:line="26" w:lineRule="exact"/>
        <w:rPr>
          <w:sz w:val="20"/>
          <w:szCs w:val="20"/>
          <w:color w:val="auto"/>
        </w:rPr>
      </w:pPr>
    </w:p>
    <w:p>
      <w:pPr>
        <w:ind w:left="1640" w:hanging="156"/>
        <w:spacing w:after="0"/>
        <w:tabs>
          <w:tab w:leader="none" w:pos="1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title and type of the debt securities;</w:t>
      </w:r>
    </w:p>
    <w:p>
      <w:pPr>
        <w:spacing w:after="0" w:line="102" w:lineRule="exact"/>
        <w:rPr>
          <w:rFonts w:ascii="Arial" w:cs="Arial" w:eastAsia="Arial" w:hAnsi="Arial"/>
          <w:sz w:val="17"/>
          <w:szCs w:val="17"/>
          <w:color w:val="auto"/>
        </w:rPr>
      </w:pPr>
    </w:p>
    <w:p>
      <w:pPr>
        <w:ind w:left="1640" w:right="1039" w:hanging="156"/>
        <w:spacing w:after="0" w:line="260" w:lineRule="auto"/>
        <w:tabs>
          <w:tab w:leader="none" w:pos="1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whether the debt securities will be senior or subordinated debt securities, and, with respect to any subordinated debt securities the terms on which they are subordinated;</w:t>
      </w:r>
    </w:p>
    <w:p>
      <w:pPr>
        <w:spacing w:after="0" w:line="72" w:lineRule="exact"/>
        <w:rPr>
          <w:rFonts w:ascii="Arial" w:cs="Arial" w:eastAsia="Arial" w:hAnsi="Arial"/>
          <w:sz w:val="17"/>
          <w:szCs w:val="17"/>
          <w:color w:val="auto"/>
        </w:rPr>
      </w:pPr>
    </w:p>
    <w:p>
      <w:pPr>
        <w:ind w:left="1640" w:hanging="156"/>
        <w:spacing w:after="0"/>
        <w:tabs>
          <w:tab w:leader="none" w:pos="1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initial aggregate principal amount of the debt securities;</w:t>
      </w:r>
    </w:p>
    <w:p>
      <w:pPr>
        <w:spacing w:after="0" w:line="114" w:lineRule="exact"/>
        <w:rPr>
          <w:rFonts w:ascii="Arial" w:cs="Arial" w:eastAsia="Arial" w:hAnsi="Arial"/>
          <w:sz w:val="17"/>
          <w:szCs w:val="17"/>
          <w:color w:val="auto"/>
        </w:rPr>
      </w:pPr>
    </w:p>
    <w:p>
      <w:pPr>
        <w:ind w:left="1640" w:hanging="156"/>
        <w:spacing w:after="0"/>
        <w:tabs>
          <w:tab w:leader="none" w:pos="1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price or prices at which we will sell the debt securities;</w:t>
      </w:r>
    </w:p>
    <w:p>
      <w:pPr>
        <w:spacing w:after="0" w:line="102" w:lineRule="exact"/>
        <w:rPr>
          <w:rFonts w:ascii="Arial" w:cs="Arial" w:eastAsia="Arial" w:hAnsi="Arial"/>
          <w:sz w:val="17"/>
          <w:szCs w:val="17"/>
          <w:color w:val="auto"/>
        </w:rPr>
      </w:pPr>
    </w:p>
    <w:p>
      <w:pPr>
        <w:ind w:left="1640" w:hanging="156"/>
        <w:spacing w:after="0"/>
        <w:tabs>
          <w:tab w:leader="none" w:pos="164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maturity date or dates of the debt securities and the right, if any, to extend such date or dates;</w:t>
      </w:r>
    </w:p>
    <w:p>
      <w:pPr>
        <w:spacing w:after="0" w:line="386"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225425</wp:posOffset>
            </wp:positionV>
            <wp:extent cx="627126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extLst>
                    </a:blip>
                    <a:srcRect/>
                    <a:stretch>
                      <a:fillRect/>
                    </a:stretch>
                  </pic:blipFill>
                  <pic:spPr bwMode="auto">
                    <a:xfrm>
                      <a:off x="0" y="0"/>
                      <a:ext cx="6271260" cy="41275"/>
                    </a:xfrm>
                    <a:prstGeom prst="rect">
                      <a:avLst/>
                    </a:prstGeom>
                    <a:noFill/>
                  </pic:spPr>
                </pic:pic>
              </a:graphicData>
            </a:graphic>
          </wp:anchor>
        </w:drawing>
      </w:r>
    </w:p>
    <w:p>
      <w:pPr>
        <w:sectPr>
          <w:pgSz w:w="11900" w:h="16838" w:orient="portrait"/>
          <w:cols w:equalWidth="0" w:num="1">
            <w:col w:w="9439"/>
          </w:cols>
          <w:pgMar w:left="1020" w:top="131" w:right="1440" w:bottom="1440" w:gutter="0" w:footer="0" w:header="0"/>
        </w:sectPr>
      </w:pPr>
    </w:p>
    <w:bookmarkStart w:id="9" w:name="page10"/>
    <w:bookmarkEnd w:id="9"/>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640" w:right="919" w:hanging="156"/>
        <w:spacing w:after="0" w:line="260" w:lineRule="auto"/>
        <w:tabs>
          <w:tab w:leader="none" w:pos="1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rate or rates, if any, at which the debt securities will bear interest, or the method of determining such rate or rates;</w:t>
      </w:r>
    </w:p>
    <w:p>
      <w:pPr>
        <w:spacing w:after="0" w:line="72" w:lineRule="exact"/>
        <w:rPr>
          <w:rFonts w:ascii="Arial" w:cs="Arial" w:eastAsia="Arial" w:hAnsi="Arial"/>
          <w:sz w:val="17"/>
          <w:szCs w:val="17"/>
          <w:color w:val="auto"/>
        </w:rPr>
      </w:pPr>
    </w:p>
    <w:p>
      <w:pPr>
        <w:ind w:left="1640" w:right="1139" w:hanging="156"/>
        <w:spacing w:after="0" w:line="260" w:lineRule="auto"/>
        <w:tabs>
          <w:tab w:leader="none" w:pos="1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date or dates from which such interest will accrue, the interest payment dates on which such interest will be payable or the method of determination of such dates;</w:t>
      </w:r>
    </w:p>
    <w:p>
      <w:pPr>
        <w:spacing w:after="0" w:line="72" w:lineRule="exact"/>
        <w:rPr>
          <w:rFonts w:ascii="Arial" w:cs="Arial" w:eastAsia="Arial" w:hAnsi="Arial"/>
          <w:sz w:val="17"/>
          <w:szCs w:val="17"/>
          <w:color w:val="auto"/>
        </w:rPr>
      </w:pPr>
    </w:p>
    <w:p>
      <w:pPr>
        <w:ind w:left="1640" w:hanging="156"/>
        <w:spacing w:after="0"/>
        <w:tabs>
          <w:tab w:leader="none" w:pos="1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right, if any, to extend the interest payment periods and the duration of that extension;</w:t>
      </w:r>
    </w:p>
    <w:p>
      <w:pPr>
        <w:spacing w:after="0" w:line="102" w:lineRule="exact"/>
        <w:rPr>
          <w:rFonts w:ascii="Arial" w:cs="Arial" w:eastAsia="Arial" w:hAnsi="Arial"/>
          <w:sz w:val="17"/>
          <w:szCs w:val="17"/>
          <w:color w:val="auto"/>
        </w:rPr>
      </w:pPr>
    </w:p>
    <w:p>
      <w:pPr>
        <w:ind w:left="1640" w:right="879" w:hanging="156"/>
        <w:spacing w:after="0" w:line="260" w:lineRule="auto"/>
        <w:tabs>
          <w:tab w:leader="none" w:pos="1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manner of paying principal and interest and the place or places where principal and interest will be payable;</w:t>
      </w:r>
    </w:p>
    <w:p>
      <w:pPr>
        <w:spacing w:after="0" w:line="72" w:lineRule="exact"/>
        <w:rPr>
          <w:rFonts w:ascii="Arial" w:cs="Arial" w:eastAsia="Arial" w:hAnsi="Arial"/>
          <w:sz w:val="17"/>
          <w:szCs w:val="17"/>
          <w:color w:val="auto"/>
        </w:rPr>
      </w:pPr>
    </w:p>
    <w:p>
      <w:pPr>
        <w:ind w:left="1640" w:hanging="156"/>
        <w:spacing w:after="0"/>
        <w:tabs>
          <w:tab w:leader="none" w:pos="1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denominations of the debt securities if other than $1,000 or multiples of $1,000;</w:t>
      </w:r>
    </w:p>
    <w:p>
      <w:pPr>
        <w:spacing w:after="0" w:line="102" w:lineRule="exact"/>
        <w:rPr>
          <w:rFonts w:ascii="Arial" w:cs="Arial" w:eastAsia="Arial" w:hAnsi="Arial"/>
          <w:sz w:val="17"/>
          <w:szCs w:val="17"/>
          <w:color w:val="auto"/>
        </w:rPr>
      </w:pPr>
    </w:p>
    <w:p>
      <w:pPr>
        <w:ind w:left="1640" w:hanging="156"/>
        <w:spacing w:after="0"/>
        <w:tabs>
          <w:tab w:leader="none" w:pos="1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provisions for a sinking fund, purchase fund or other analogous fund, if any;</w:t>
      </w:r>
    </w:p>
    <w:p>
      <w:pPr>
        <w:spacing w:after="0" w:line="102" w:lineRule="exact"/>
        <w:rPr>
          <w:rFonts w:ascii="Arial" w:cs="Arial" w:eastAsia="Arial" w:hAnsi="Arial"/>
          <w:sz w:val="17"/>
          <w:szCs w:val="17"/>
          <w:color w:val="auto"/>
        </w:rPr>
      </w:pPr>
    </w:p>
    <w:p>
      <w:pPr>
        <w:ind w:left="1640" w:hanging="156"/>
        <w:spacing w:after="0"/>
        <w:tabs>
          <w:tab w:leader="none" w:pos="1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any redemption dates, prices, obligations and restrictions on the debt securities;</w:t>
      </w:r>
    </w:p>
    <w:p>
      <w:pPr>
        <w:spacing w:after="0" w:line="114" w:lineRule="exact"/>
        <w:rPr>
          <w:rFonts w:ascii="Arial" w:cs="Arial" w:eastAsia="Arial" w:hAnsi="Arial"/>
          <w:sz w:val="17"/>
          <w:szCs w:val="17"/>
          <w:color w:val="auto"/>
        </w:rPr>
      </w:pPr>
    </w:p>
    <w:p>
      <w:pPr>
        <w:jc w:val="both"/>
        <w:ind w:left="1640" w:right="959" w:hanging="156"/>
        <w:spacing w:after="0" w:line="252" w:lineRule="auto"/>
        <w:tabs>
          <w:tab w:leader="none" w:pos="1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currency, currencies or currency units in which the debt securities will be denominated and the currency, currencies or currency units in which principal and interest, if any, on the debt securities may be payable;</w:t>
      </w:r>
    </w:p>
    <w:p>
      <w:pPr>
        <w:spacing w:after="0" w:line="78" w:lineRule="exact"/>
        <w:rPr>
          <w:rFonts w:ascii="Arial" w:cs="Arial" w:eastAsia="Arial" w:hAnsi="Arial"/>
          <w:sz w:val="17"/>
          <w:szCs w:val="17"/>
          <w:color w:val="auto"/>
        </w:rPr>
      </w:pPr>
    </w:p>
    <w:p>
      <w:pPr>
        <w:ind w:left="1640" w:hanging="156"/>
        <w:spacing w:after="0"/>
        <w:tabs>
          <w:tab w:leader="none" w:pos="1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any conversion or exchange features of the debt securities;</w:t>
      </w:r>
    </w:p>
    <w:p>
      <w:pPr>
        <w:spacing w:after="0" w:line="102" w:lineRule="exact"/>
        <w:rPr>
          <w:rFonts w:ascii="Arial" w:cs="Arial" w:eastAsia="Arial" w:hAnsi="Arial"/>
          <w:sz w:val="17"/>
          <w:szCs w:val="17"/>
          <w:color w:val="auto"/>
        </w:rPr>
      </w:pPr>
    </w:p>
    <w:p>
      <w:pPr>
        <w:ind w:left="1640" w:hanging="156"/>
        <w:spacing w:after="0"/>
        <w:tabs>
          <w:tab w:leader="none" w:pos="1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whether the debt securities will be subject to the defeasance provisions in the indenture;</w:t>
      </w:r>
    </w:p>
    <w:p>
      <w:pPr>
        <w:spacing w:after="0" w:line="102" w:lineRule="exact"/>
        <w:rPr>
          <w:rFonts w:ascii="Arial" w:cs="Arial" w:eastAsia="Arial" w:hAnsi="Arial"/>
          <w:sz w:val="17"/>
          <w:szCs w:val="17"/>
          <w:color w:val="auto"/>
        </w:rPr>
      </w:pPr>
    </w:p>
    <w:p>
      <w:pPr>
        <w:ind w:left="1640" w:right="799" w:hanging="156"/>
        <w:spacing w:after="0" w:line="260" w:lineRule="auto"/>
        <w:tabs>
          <w:tab w:leader="none" w:pos="1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whether the debt securities will be issued in definitive or global form or in definitive form only upon satisfaction of certain conditions;</w:t>
      </w:r>
    </w:p>
    <w:p>
      <w:pPr>
        <w:spacing w:after="0" w:line="72" w:lineRule="exact"/>
        <w:rPr>
          <w:rFonts w:ascii="Arial" w:cs="Arial" w:eastAsia="Arial" w:hAnsi="Arial"/>
          <w:sz w:val="17"/>
          <w:szCs w:val="17"/>
          <w:color w:val="auto"/>
        </w:rPr>
      </w:pPr>
    </w:p>
    <w:p>
      <w:pPr>
        <w:ind w:left="1640" w:hanging="156"/>
        <w:spacing w:after="0"/>
        <w:tabs>
          <w:tab w:leader="none" w:pos="1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whether the debt securities will be guaranteed as to payment or performance;</w:t>
      </w:r>
    </w:p>
    <w:p>
      <w:pPr>
        <w:spacing w:after="0" w:line="102" w:lineRule="exact"/>
        <w:rPr>
          <w:rFonts w:ascii="Arial" w:cs="Arial" w:eastAsia="Arial" w:hAnsi="Arial"/>
          <w:sz w:val="17"/>
          <w:szCs w:val="17"/>
          <w:color w:val="auto"/>
        </w:rPr>
      </w:pPr>
    </w:p>
    <w:p>
      <w:pPr>
        <w:ind w:left="1640" w:hanging="156"/>
        <w:spacing w:after="0"/>
        <w:tabs>
          <w:tab w:leader="none" w:pos="1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any special tax implications of the debt securities;</w:t>
      </w:r>
    </w:p>
    <w:p>
      <w:pPr>
        <w:spacing w:after="0" w:line="102" w:lineRule="exact"/>
        <w:rPr>
          <w:rFonts w:ascii="Arial" w:cs="Arial" w:eastAsia="Arial" w:hAnsi="Arial"/>
          <w:sz w:val="17"/>
          <w:szCs w:val="17"/>
          <w:color w:val="auto"/>
        </w:rPr>
      </w:pPr>
    </w:p>
    <w:p>
      <w:pPr>
        <w:ind w:left="1640" w:hanging="156"/>
        <w:spacing w:after="0"/>
        <w:tabs>
          <w:tab w:leader="none" w:pos="1640" w:val="left"/>
        </w:tabs>
        <w:numPr>
          <w:ilvl w:val="0"/>
          <w:numId w:val="6"/>
        </w:numPr>
        <w:rPr>
          <w:rFonts w:ascii="Arial" w:cs="Arial" w:eastAsia="Arial" w:hAnsi="Arial"/>
          <w:sz w:val="15"/>
          <w:szCs w:val="15"/>
          <w:color w:val="auto"/>
        </w:rPr>
      </w:pPr>
      <w:r>
        <w:rPr>
          <w:rFonts w:ascii="Arial" w:cs="Arial" w:eastAsia="Arial" w:hAnsi="Arial"/>
          <w:sz w:val="15"/>
          <w:szCs w:val="15"/>
          <w:color w:val="auto"/>
        </w:rPr>
        <w:t>any events of default or covenants in addition to or in lieu of those set forth in the indenture; and</w:t>
      </w:r>
    </w:p>
    <w:p>
      <w:pPr>
        <w:spacing w:after="0" w:line="125" w:lineRule="exact"/>
        <w:rPr>
          <w:rFonts w:ascii="Arial" w:cs="Arial" w:eastAsia="Arial" w:hAnsi="Arial"/>
          <w:sz w:val="15"/>
          <w:szCs w:val="15"/>
          <w:color w:val="auto"/>
        </w:rPr>
      </w:pPr>
    </w:p>
    <w:p>
      <w:pPr>
        <w:ind w:left="1640" w:hanging="156"/>
        <w:spacing w:after="0"/>
        <w:tabs>
          <w:tab w:leader="none" w:pos="1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any other material terms of the debt securities.</w:t>
      </w:r>
    </w:p>
    <w:p>
      <w:pPr>
        <w:spacing w:after="0" w:line="127" w:lineRule="exact"/>
        <w:rPr>
          <w:sz w:val="20"/>
          <w:szCs w:val="20"/>
          <w:color w:val="auto"/>
        </w:rPr>
      </w:pPr>
    </w:p>
    <w:p>
      <w:pPr>
        <w:ind w:left="1160" w:right="879" w:firstLine="331"/>
        <w:spacing w:after="0" w:line="260" w:lineRule="auto"/>
        <w:rPr>
          <w:sz w:val="20"/>
          <w:szCs w:val="20"/>
          <w:color w:val="auto"/>
        </w:rPr>
      </w:pPr>
      <w:r>
        <w:rPr>
          <w:rFonts w:ascii="Arial" w:cs="Arial" w:eastAsia="Arial" w:hAnsi="Arial"/>
          <w:sz w:val="17"/>
          <w:szCs w:val="17"/>
          <w:color w:val="auto"/>
        </w:rPr>
        <w:t>When we refer to “principal” in this section with reference to the debt securities, we are also referring to “premium, if any.”</w:t>
      </w:r>
    </w:p>
    <w:p>
      <w:pPr>
        <w:spacing w:after="0" w:line="110" w:lineRule="exact"/>
        <w:rPr>
          <w:sz w:val="20"/>
          <w:szCs w:val="20"/>
          <w:color w:val="auto"/>
        </w:rPr>
      </w:pPr>
    </w:p>
    <w:p>
      <w:pPr>
        <w:ind w:left="1160" w:right="819" w:firstLine="331"/>
        <w:spacing w:after="0" w:line="246" w:lineRule="auto"/>
        <w:rPr>
          <w:sz w:val="20"/>
          <w:szCs w:val="20"/>
          <w:color w:val="auto"/>
        </w:rPr>
      </w:pPr>
      <w:r>
        <w:rPr>
          <w:rFonts w:ascii="Arial" w:cs="Arial" w:eastAsia="Arial" w:hAnsi="Arial"/>
          <w:sz w:val="17"/>
          <w:szCs w:val="17"/>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(1) the payment of interest accruing prior to the issue date of such further debt securities or (2)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11" w:lineRule="exact"/>
        <w:rPr>
          <w:sz w:val="20"/>
          <w:szCs w:val="20"/>
          <w:color w:val="auto"/>
        </w:rPr>
      </w:pPr>
    </w:p>
    <w:p>
      <w:pPr>
        <w:ind w:left="1160" w:right="939" w:firstLine="331"/>
        <w:spacing w:after="0" w:line="247" w:lineRule="auto"/>
        <w:rPr>
          <w:sz w:val="20"/>
          <w:szCs w:val="20"/>
          <w:color w:val="auto"/>
        </w:rPr>
      </w:pPr>
      <w:r>
        <w:rPr>
          <w:rFonts w:ascii="Arial" w:cs="Arial" w:eastAsia="Arial" w:hAnsi="Arial"/>
          <w:sz w:val="17"/>
          <w:szCs w:val="17"/>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23" w:lineRule="exact"/>
        <w:rPr>
          <w:sz w:val="20"/>
          <w:szCs w:val="20"/>
          <w:color w:val="auto"/>
        </w:rPr>
      </w:pPr>
    </w:p>
    <w:p>
      <w:pPr>
        <w:ind w:left="1160" w:right="799" w:firstLine="331"/>
        <w:spacing w:after="0" w:line="247" w:lineRule="auto"/>
        <w:rPr>
          <w:sz w:val="20"/>
          <w:szCs w:val="20"/>
          <w:color w:val="auto"/>
        </w:rPr>
      </w:pPr>
      <w:r>
        <w:rPr>
          <w:rFonts w:ascii="Arial" w:cs="Arial" w:eastAsia="Arial" w:hAnsi="Arial"/>
          <w:sz w:val="17"/>
          <w:szCs w:val="17"/>
          <w:color w:val="auto"/>
        </w:rPr>
        <w:t>Debt securities may bear interest at a fixed rate or a floating rate. Debt securities bearing no interest or interest at a rate that at the time of issuance is below the prevailing market rate (original issue discount securities) may be sold at a discount below their stated principal amount.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20" w:lineRule="exact"/>
        <w:rPr>
          <w:sz w:val="20"/>
          <w:szCs w:val="20"/>
          <w:color w:val="auto"/>
        </w:rPr>
      </w:pPr>
    </w:p>
    <w:p>
      <w:pPr>
        <w:ind w:left="1160" w:right="799" w:firstLine="331"/>
        <w:spacing w:after="0" w:line="293" w:lineRule="auto"/>
        <w:rPr>
          <w:sz w:val="20"/>
          <w:szCs w:val="20"/>
          <w:color w:val="auto"/>
        </w:rPr>
      </w:pPr>
      <w:r>
        <w:rPr>
          <w:rFonts w:ascii="Arial" w:cs="Arial" w:eastAsia="Arial" w:hAnsi="Arial"/>
          <w:sz w:val="15"/>
          <w:szCs w:val="15"/>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w:t>
      </w:r>
    </w:p>
    <w:p>
      <w:pPr>
        <w:spacing w:after="0" w:line="311"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225425</wp:posOffset>
            </wp:positionV>
            <wp:extent cx="627126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extLst>
                        <a:ext uri="{28A0092B-C50C-407E-A947-70E740481C1C}"/>
                      </a:extLst>
                    </a:blip>
                    <a:srcRect/>
                    <a:stretch>
                      <a:fillRect/>
                    </a:stretch>
                  </pic:blipFill>
                  <pic:spPr bwMode="auto">
                    <a:xfrm>
                      <a:off x="0" y="0"/>
                      <a:ext cx="6271260" cy="41275"/>
                    </a:xfrm>
                    <a:prstGeom prst="rect">
                      <a:avLst/>
                    </a:prstGeom>
                    <a:noFill/>
                  </pic:spPr>
                </pic:pic>
              </a:graphicData>
            </a:graphic>
          </wp:anchor>
        </w:drawing>
      </w:r>
    </w:p>
    <w:p>
      <w:pPr>
        <w:sectPr>
          <w:pgSz w:w="11900" w:h="16838" w:orient="portrait"/>
          <w:cols w:equalWidth="0" w:num="1">
            <w:col w:w="9439"/>
          </w:cols>
          <w:pgMar w:left="1020" w:top="131" w:right="1440" w:bottom="1440" w:gutter="0" w:footer="0" w:header="0"/>
        </w:sectPr>
      </w:pPr>
    </w:p>
    <w:bookmarkStart w:id="10" w:name="page11"/>
    <w:bookmarkEnd w:id="10"/>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160" w:right="779"/>
        <w:spacing w:after="0" w:line="233" w:lineRule="auto"/>
        <w:rPr>
          <w:sz w:val="20"/>
          <w:szCs w:val="20"/>
          <w:color w:val="auto"/>
        </w:rPr>
      </w:pPr>
      <w:r>
        <w:rPr>
          <w:rFonts w:ascii="Arial" w:cs="Arial" w:eastAsia="Arial" w:hAnsi="Arial"/>
          <w:sz w:val="17"/>
          <w:szCs w:val="17"/>
          <w:color w:val="auto"/>
        </w:rPr>
        <w:t>that is greater than or less than the amount of principal or interest otherwise payable on such dates, depending 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related tax considerations will be set forth in the applicable prospectus supplement.</w:t>
      </w:r>
    </w:p>
    <w:p>
      <w:pPr>
        <w:spacing w:after="0" w:line="172"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Certain Terms of the Senior Debt Securities</w:t>
      </w:r>
    </w:p>
    <w:p>
      <w:pPr>
        <w:spacing w:after="0" w:line="131" w:lineRule="exact"/>
        <w:rPr>
          <w:sz w:val="20"/>
          <w:szCs w:val="20"/>
          <w:color w:val="auto"/>
        </w:rPr>
      </w:pPr>
    </w:p>
    <w:p>
      <w:pPr>
        <w:ind w:left="1160" w:right="799" w:firstLine="331"/>
        <w:spacing w:after="0" w:line="271" w:lineRule="auto"/>
        <w:rPr>
          <w:sz w:val="20"/>
          <w:szCs w:val="20"/>
          <w:color w:val="auto"/>
        </w:rPr>
      </w:pPr>
      <w:r>
        <w:rPr>
          <w:rFonts w:ascii="Arial" w:cs="Arial" w:eastAsia="Arial" w:hAnsi="Arial"/>
          <w:sz w:val="15"/>
          <w:szCs w:val="15"/>
          <w:i w:val="1"/>
          <w:iCs w:val="1"/>
          <w:color w:val="auto"/>
        </w:rPr>
        <w:t xml:space="preserve">Covenants. </w:t>
      </w:r>
      <w:r>
        <w:rPr>
          <w:rFonts w:ascii="Arial" w:cs="Arial" w:eastAsia="Arial" w:hAnsi="Arial"/>
          <w:sz w:val="15"/>
          <w:szCs w:val="15"/>
          <w:color w:val="auto"/>
        </w:rPr>
        <w:t>Unless we indicate otherwise in a prospectus supplement with respect to a particular series</w:t>
      </w:r>
      <w:r>
        <w:rPr>
          <w:rFonts w:ascii="Arial" w:cs="Arial" w:eastAsia="Arial" w:hAnsi="Arial"/>
          <w:sz w:val="15"/>
          <w:szCs w:val="15"/>
          <w:i w:val="1"/>
          <w:iCs w:val="1"/>
          <w:color w:val="auto"/>
        </w:rPr>
        <w:t xml:space="preserve"> </w:t>
      </w:r>
      <w:r>
        <w:rPr>
          <w:rFonts w:ascii="Arial" w:cs="Arial" w:eastAsia="Arial" w:hAnsi="Arial"/>
          <w:sz w:val="15"/>
          <w:szCs w:val="15"/>
          <w:color w:val="auto"/>
        </w:rPr>
        <w:t>of senior debt securities, the senior debt securities will not contain any financial or restrictive covenants, including covenants restricting either us or any of our subsidiaries from incurring, issuing, assuming or guaranteeing any indebtedness secured by a lien on any of our or our subsidiaries’ property or capital stock, or restricting either us or any of our subsidiaries from entering into sale and leaseback transactions.</w:t>
      </w:r>
    </w:p>
    <w:p>
      <w:pPr>
        <w:spacing w:after="0" w:line="93" w:lineRule="exact"/>
        <w:rPr>
          <w:sz w:val="20"/>
          <w:szCs w:val="20"/>
          <w:color w:val="auto"/>
        </w:rPr>
      </w:pPr>
    </w:p>
    <w:p>
      <w:pPr>
        <w:ind w:left="1160" w:right="819" w:firstLine="331"/>
        <w:spacing w:after="0" w:line="275" w:lineRule="auto"/>
        <w:rPr>
          <w:sz w:val="20"/>
          <w:szCs w:val="20"/>
          <w:color w:val="auto"/>
        </w:rPr>
      </w:pPr>
      <w:r>
        <w:rPr>
          <w:rFonts w:ascii="Arial" w:cs="Arial" w:eastAsia="Arial" w:hAnsi="Arial"/>
          <w:sz w:val="15"/>
          <w:szCs w:val="15"/>
          <w:i w:val="1"/>
          <w:iCs w:val="1"/>
          <w:color w:val="auto"/>
        </w:rPr>
        <w:t xml:space="preserve">Consolidation, Merger and Sale of Assets. </w:t>
      </w:r>
      <w:r>
        <w:rPr>
          <w:rFonts w:ascii="Arial" w:cs="Arial" w:eastAsia="Arial" w:hAnsi="Arial"/>
          <w:sz w:val="15"/>
          <w:szCs w:val="15"/>
          <w:color w:val="auto"/>
        </w:rPr>
        <w:t>Unless we indicate otherwise in a prospectus supplement</w:t>
      </w:r>
      <w:r>
        <w:rPr>
          <w:rFonts w:ascii="Arial" w:cs="Arial" w:eastAsia="Arial" w:hAnsi="Arial"/>
          <w:sz w:val="15"/>
          <w:szCs w:val="15"/>
          <w:i w:val="1"/>
          <w:iCs w:val="1"/>
          <w:color w:val="auto"/>
        </w:rPr>
        <w:t xml:space="preserve"> </w:t>
      </w:r>
      <w:r>
        <w:rPr>
          <w:rFonts w:ascii="Arial" w:cs="Arial" w:eastAsia="Arial" w:hAnsi="Arial"/>
          <w:sz w:val="15"/>
          <w:szCs w:val="15"/>
          <w:color w:val="auto"/>
        </w:rPr>
        <w:t>with respect to a particular series of senior debt securities, we may not consolidate with or merge into any other person, in a transaction in which we are not the surviving corporation, or convey, transfer or lease our properties and assets substantially as an entirety to any person, in either case, unless:</w:t>
      </w:r>
    </w:p>
    <w:p>
      <w:pPr>
        <w:spacing w:after="0" w:line="53" w:lineRule="exact"/>
        <w:rPr>
          <w:sz w:val="20"/>
          <w:szCs w:val="20"/>
          <w:color w:val="auto"/>
        </w:rPr>
      </w:pPr>
    </w:p>
    <w:p>
      <w:pPr>
        <w:ind w:left="1640" w:hanging="156"/>
        <w:spacing w:after="0"/>
        <w:tabs>
          <w:tab w:leader="none" w:pos="164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successor entity, if any, is a U.S. corporation, limited liability company, partnership or trust;</w:t>
      </w:r>
    </w:p>
    <w:p>
      <w:pPr>
        <w:spacing w:after="0" w:line="112" w:lineRule="exact"/>
        <w:rPr>
          <w:rFonts w:ascii="Arial" w:cs="Arial" w:eastAsia="Arial" w:hAnsi="Arial"/>
          <w:sz w:val="15"/>
          <w:szCs w:val="15"/>
          <w:color w:val="auto"/>
        </w:rPr>
      </w:pPr>
    </w:p>
    <w:p>
      <w:pPr>
        <w:ind w:left="1640" w:right="1279" w:hanging="156"/>
        <w:spacing w:after="0" w:line="260" w:lineRule="auto"/>
        <w:tabs>
          <w:tab w:leader="none" w:pos="1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successor entity assumes our obligations on the senior debt securities and under the senior indenture;</w:t>
      </w:r>
    </w:p>
    <w:p>
      <w:pPr>
        <w:spacing w:after="0" w:line="72" w:lineRule="exact"/>
        <w:rPr>
          <w:rFonts w:ascii="Arial" w:cs="Arial" w:eastAsia="Arial" w:hAnsi="Arial"/>
          <w:sz w:val="17"/>
          <w:szCs w:val="17"/>
          <w:color w:val="auto"/>
        </w:rPr>
      </w:pPr>
    </w:p>
    <w:p>
      <w:pPr>
        <w:ind w:left="1640" w:right="899" w:hanging="156"/>
        <w:spacing w:after="0" w:line="260" w:lineRule="auto"/>
        <w:tabs>
          <w:tab w:leader="none" w:pos="1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immediately after giving effect to the transaction, no default or event of default shall have occurred and be continuing; and</w:t>
      </w:r>
    </w:p>
    <w:p>
      <w:pPr>
        <w:spacing w:after="0" w:line="60" w:lineRule="exact"/>
        <w:rPr>
          <w:rFonts w:ascii="Arial" w:cs="Arial" w:eastAsia="Arial" w:hAnsi="Arial"/>
          <w:sz w:val="17"/>
          <w:szCs w:val="17"/>
          <w:color w:val="auto"/>
        </w:rPr>
      </w:pPr>
    </w:p>
    <w:p>
      <w:pPr>
        <w:ind w:left="1640" w:right="799" w:hanging="156"/>
        <w:spacing w:after="0" w:line="247" w:lineRule="auto"/>
        <w:tabs>
          <w:tab w:leader="none" w:pos="1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have delivered to the senior trustee an officer’s certificate and an opinion of counsel, each stating that the consolidation, merger, conveyance, transfer or lease and, if a supplemental indenture is required in connection with such transaction, such supplemental indenture, comply with the senior indenture and all conditions precedent provided for in the senior indenture relating to such transaction have been complied with.</w:t>
      </w:r>
    </w:p>
    <w:p>
      <w:pPr>
        <w:spacing w:after="0" w:line="123" w:lineRule="exact"/>
        <w:rPr>
          <w:sz w:val="20"/>
          <w:szCs w:val="20"/>
          <w:color w:val="auto"/>
        </w:rPr>
      </w:pPr>
    </w:p>
    <w:p>
      <w:pPr>
        <w:ind w:left="1160" w:right="1019" w:firstLine="331"/>
        <w:spacing w:after="0" w:line="275" w:lineRule="auto"/>
        <w:rPr>
          <w:sz w:val="20"/>
          <w:szCs w:val="20"/>
          <w:color w:val="auto"/>
        </w:rPr>
      </w:pPr>
      <w:r>
        <w:rPr>
          <w:rFonts w:ascii="Arial" w:cs="Arial" w:eastAsia="Arial" w:hAnsi="Arial"/>
          <w:sz w:val="15"/>
          <w:szCs w:val="15"/>
          <w:color w:val="auto"/>
        </w:rPr>
        <w:t>The restrictions described in the bullets above do not apply (1) to our consolidation with or merging into one of our affiliates, if our board of directors determines in good faith that the purpose of the consolidation or merger is principally to change our state of incorporation or our form of organization to another form or (2) if we merge with or into a single direct or indirect wholly-owned subsidiary of ours.</w:t>
      </w:r>
    </w:p>
    <w:p>
      <w:pPr>
        <w:spacing w:after="0" w:line="90" w:lineRule="exact"/>
        <w:rPr>
          <w:sz w:val="20"/>
          <w:szCs w:val="20"/>
          <w:color w:val="auto"/>
        </w:rPr>
      </w:pPr>
    </w:p>
    <w:p>
      <w:pPr>
        <w:jc w:val="both"/>
        <w:ind w:left="1160" w:right="859" w:firstLine="331"/>
        <w:spacing w:after="0" w:line="237" w:lineRule="auto"/>
        <w:rPr>
          <w:sz w:val="20"/>
          <w:szCs w:val="20"/>
          <w:color w:val="auto"/>
        </w:rPr>
      </w:pPr>
      <w:r>
        <w:rPr>
          <w:rFonts w:ascii="Arial" w:cs="Arial" w:eastAsia="Arial" w:hAnsi="Arial"/>
          <w:sz w:val="17"/>
          <w:szCs w:val="17"/>
          <w:color w:val="auto"/>
        </w:rPr>
        <w:t>The surviving business entity will succeed to, and be substituted for, us under the senior indenture and the senior debt securities and, except in the case of a lease, we shall be released from all obligations under the senior indenture and the senior debt securities.</w:t>
      </w:r>
    </w:p>
    <w:p>
      <w:pPr>
        <w:spacing w:after="0" w:line="103" w:lineRule="exact"/>
        <w:rPr>
          <w:sz w:val="20"/>
          <w:szCs w:val="20"/>
          <w:color w:val="auto"/>
        </w:rPr>
      </w:pPr>
    </w:p>
    <w:p>
      <w:pPr>
        <w:ind w:left="1160" w:right="759" w:firstLine="331"/>
        <w:spacing w:after="0" w:line="234" w:lineRule="auto"/>
        <w:rPr>
          <w:sz w:val="20"/>
          <w:szCs w:val="20"/>
          <w:color w:val="auto"/>
        </w:rPr>
      </w:pPr>
      <w:r>
        <w:rPr>
          <w:rFonts w:ascii="Arial" w:cs="Arial" w:eastAsia="Arial" w:hAnsi="Arial"/>
          <w:sz w:val="17"/>
          <w:szCs w:val="17"/>
          <w:i w:val="1"/>
          <w:iCs w:val="1"/>
          <w:color w:val="auto"/>
        </w:rPr>
        <w:t xml:space="preserve">No Protection in the Event of a Change in Control. </w:t>
      </w:r>
      <w:r>
        <w:rPr>
          <w:rFonts w:ascii="Arial" w:cs="Arial" w:eastAsia="Arial" w:hAnsi="Arial"/>
          <w:sz w:val="17"/>
          <w:szCs w:val="17"/>
          <w:color w:val="auto"/>
        </w:rPr>
        <w:t>Unless we indicate otherwise in a prospectus</w:t>
      </w:r>
      <w:r>
        <w:rPr>
          <w:rFonts w:ascii="Arial" w:cs="Arial" w:eastAsia="Arial" w:hAnsi="Arial"/>
          <w:sz w:val="17"/>
          <w:szCs w:val="17"/>
          <w:i w:val="1"/>
          <w:iCs w:val="1"/>
          <w:color w:val="auto"/>
        </w:rPr>
        <w:t xml:space="preserve"> </w:t>
      </w:r>
      <w:r>
        <w:rPr>
          <w:rFonts w:ascii="Arial" w:cs="Arial" w:eastAsia="Arial" w:hAnsi="Arial"/>
          <w:sz w:val="17"/>
          <w:szCs w:val="17"/>
          <w:color w:val="auto"/>
        </w:rPr>
        <w:t>supplement with respect to a particular series of senior debt securities, the senior debt securities will not contain any provisions that may afford holders of the senior debt securities protection in the event we have a change in control or in the event of a highly leveraged transaction (whether or not such transaction results in a change in control).</w:t>
      </w:r>
    </w:p>
    <w:p>
      <w:pPr>
        <w:spacing w:after="0" w:line="114" w:lineRule="exact"/>
        <w:rPr>
          <w:sz w:val="20"/>
          <w:szCs w:val="20"/>
          <w:color w:val="auto"/>
        </w:rPr>
      </w:pPr>
    </w:p>
    <w:p>
      <w:pPr>
        <w:jc w:val="both"/>
        <w:ind w:left="1160" w:right="779" w:firstLine="331"/>
        <w:spacing w:after="0" w:line="237" w:lineRule="auto"/>
        <w:rPr>
          <w:sz w:val="20"/>
          <w:szCs w:val="20"/>
          <w:color w:val="auto"/>
        </w:rPr>
      </w:pPr>
      <w:r>
        <w:rPr>
          <w:rFonts w:ascii="Arial" w:cs="Arial" w:eastAsia="Arial" w:hAnsi="Arial"/>
          <w:sz w:val="17"/>
          <w:szCs w:val="17"/>
          <w:i w:val="1"/>
          <w:iCs w:val="1"/>
          <w:color w:val="auto"/>
        </w:rPr>
        <w:t xml:space="preserve">Events of Default. </w:t>
      </w:r>
      <w:r>
        <w:rPr>
          <w:rFonts w:ascii="Arial" w:cs="Arial" w:eastAsia="Arial" w:hAnsi="Arial"/>
          <w:sz w:val="17"/>
          <w:szCs w:val="17"/>
          <w:color w:val="auto"/>
        </w:rPr>
        <w:t>Unless we indicate otherwise in a prospectus supplement with respect to a particular</w:t>
      </w:r>
      <w:r>
        <w:rPr>
          <w:rFonts w:ascii="Arial" w:cs="Arial" w:eastAsia="Arial" w:hAnsi="Arial"/>
          <w:sz w:val="17"/>
          <w:szCs w:val="17"/>
          <w:i w:val="1"/>
          <w:iCs w:val="1"/>
          <w:color w:val="auto"/>
        </w:rPr>
        <w:t xml:space="preserve"> </w:t>
      </w:r>
      <w:r>
        <w:rPr>
          <w:rFonts w:ascii="Arial" w:cs="Arial" w:eastAsia="Arial" w:hAnsi="Arial"/>
          <w:sz w:val="17"/>
          <w:szCs w:val="17"/>
          <w:color w:val="auto"/>
        </w:rPr>
        <w:t>series of senior debt securities, the following are events of default under the senior indenture with respect to senior debt securities of each series:</w:t>
      </w:r>
    </w:p>
    <w:p>
      <w:pPr>
        <w:spacing w:after="0" w:line="78" w:lineRule="exact"/>
        <w:rPr>
          <w:sz w:val="20"/>
          <w:szCs w:val="20"/>
          <w:color w:val="auto"/>
        </w:rPr>
      </w:pPr>
    </w:p>
    <w:p>
      <w:pPr>
        <w:ind w:left="1640" w:right="919" w:hanging="156"/>
        <w:spacing w:after="0" w:line="327" w:lineRule="auto"/>
        <w:tabs>
          <w:tab w:leader="none" w:pos="1640" w:val="left"/>
        </w:tabs>
        <w:numPr>
          <w:ilvl w:val="0"/>
          <w:numId w:val="8"/>
        </w:numPr>
        <w:rPr>
          <w:rFonts w:ascii="Arial" w:cs="Arial" w:eastAsia="Arial" w:hAnsi="Arial"/>
          <w:sz w:val="15"/>
          <w:szCs w:val="15"/>
          <w:color w:val="auto"/>
        </w:rPr>
      </w:pPr>
      <w:r>
        <w:rPr>
          <w:rFonts w:ascii="Arial" w:cs="Arial" w:eastAsia="Arial" w:hAnsi="Arial"/>
          <w:sz w:val="15"/>
          <w:szCs w:val="15"/>
          <w:color w:val="auto"/>
        </w:rPr>
        <w:t>failure to pay interest on any senior debt securities of such series when due and payable, if that default continues for a period of 30 days (or such other period as may be specified for such series);</w:t>
      </w:r>
    </w:p>
    <w:p>
      <w:pPr>
        <w:spacing w:after="0" w:line="13" w:lineRule="exact"/>
        <w:rPr>
          <w:rFonts w:ascii="Arial" w:cs="Arial" w:eastAsia="Arial" w:hAnsi="Arial"/>
          <w:sz w:val="15"/>
          <w:szCs w:val="15"/>
          <w:color w:val="auto"/>
        </w:rPr>
      </w:pPr>
    </w:p>
    <w:p>
      <w:pPr>
        <w:ind w:left="1640" w:right="879" w:hanging="156"/>
        <w:spacing w:after="0" w:line="252" w:lineRule="auto"/>
        <w:tabs>
          <w:tab w:leader="none" w:pos="1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failure to pay principal on the senior debt securities of such series when due and payable whether at maturity, upon redemption, by declaration or otherwise (and, if specified for such series, the continuance of such failure for a specified period);</w:t>
      </w:r>
    </w:p>
    <w:p>
      <w:pPr>
        <w:spacing w:after="0" w:line="78" w:lineRule="exact"/>
        <w:rPr>
          <w:rFonts w:ascii="Arial" w:cs="Arial" w:eastAsia="Arial" w:hAnsi="Arial"/>
          <w:sz w:val="17"/>
          <w:szCs w:val="17"/>
          <w:color w:val="auto"/>
        </w:rPr>
      </w:pPr>
    </w:p>
    <w:p>
      <w:pPr>
        <w:ind w:left="1640" w:right="779" w:hanging="156"/>
        <w:spacing w:after="0" w:line="327" w:lineRule="auto"/>
        <w:tabs>
          <w:tab w:leader="none" w:pos="1640" w:val="left"/>
        </w:tabs>
        <w:numPr>
          <w:ilvl w:val="0"/>
          <w:numId w:val="8"/>
        </w:numPr>
        <w:rPr>
          <w:rFonts w:ascii="Arial" w:cs="Arial" w:eastAsia="Arial" w:hAnsi="Arial"/>
          <w:sz w:val="15"/>
          <w:szCs w:val="15"/>
          <w:color w:val="auto"/>
        </w:rPr>
      </w:pPr>
      <w:r>
        <w:rPr>
          <w:rFonts w:ascii="Arial" w:cs="Arial" w:eastAsia="Arial" w:hAnsi="Arial"/>
          <w:sz w:val="15"/>
          <w:szCs w:val="15"/>
          <w:color w:val="auto"/>
        </w:rPr>
        <w:t>default in the performance of or breach of any of our covenants or agreements in the senior indenture applicable to senior debt securities of such series, other than a covenant breach which is</w:t>
      </w:r>
    </w:p>
    <w:p>
      <w:pPr>
        <w:spacing w:after="0" w:line="287"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233680</wp:posOffset>
            </wp:positionV>
            <wp:extent cx="627126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extLst>
                        <a:ext uri="{28A0092B-C50C-407E-A947-70E740481C1C}"/>
                      </a:extLst>
                    </a:blip>
                    <a:srcRect/>
                    <a:stretch>
                      <a:fillRect/>
                    </a:stretch>
                  </pic:blipFill>
                  <pic:spPr bwMode="auto">
                    <a:xfrm>
                      <a:off x="0" y="0"/>
                      <a:ext cx="6271260" cy="41275"/>
                    </a:xfrm>
                    <a:prstGeom prst="rect">
                      <a:avLst/>
                    </a:prstGeom>
                    <a:noFill/>
                  </pic:spPr>
                </pic:pic>
              </a:graphicData>
            </a:graphic>
          </wp:anchor>
        </w:drawing>
      </w:r>
    </w:p>
    <w:p>
      <w:pPr>
        <w:sectPr>
          <w:pgSz w:w="11900" w:h="16838" w:orient="portrait"/>
          <w:cols w:equalWidth="0" w:num="1">
            <w:col w:w="9439"/>
          </w:cols>
          <w:pgMar w:left="1020" w:top="132" w:right="1440" w:bottom="1440" w:gutter="0" w:footer="0" w:header="0"/>
        </w:sectPr>
      </w:pPr>
    </w:p>
    <w:bookmarkStart w:id="11" w:name="page12"/>
    <w:bookmarkEnd w:id="11"/>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640" w:right="779"/>
        <w:spacing w:after="0" w:line="237" w:lineRule="auto"/>
        <w:rPr>
          <w:sz w:val="20"/>
          <w:szCs w:val="20"/>
          <w:color w:val="auto"/>
        </w:rPr>
      </w:pPr>
      <w:r>
        <w:rPr>
          <w:rFonts w:ascii="Arial" w:cs="Arial" w:eastAsia="Arial" w:hAnsi="Arial"/>
          <w:sz w:val="17"/>
          <w:szCs w:val="17"/>
          <w:color w:val="auto"/>
        </w:rPr>
        <w:t>specifically dealt with elsewhere in the senior indenture, and that default or breach continues for a period of 90 days after we receive written notice from the trustee or from the holders of 25% or more in aggregate principal amount of the senior debt securities of such series;</w:t>
      </w:r>
    </w:p>
    <w:p>
      <w:pPr>
        <w:spacing w:after="0" w:line="66" w:lineRule="exact"/>
        <w:rPr>
          <w:sz w:val="20"/>
          <w:szCs w:val="20"/>
          <w:color w:val="auto"/>
        </w:rPr>
      </w:pPr>
    </w:p>
    <w:p>
      <w:pPr>
        <w:ind w:left="1640" w:hanging="156"/>
        <w:spacing w:after="0"/>
        <w:tabs>
          <w:tab w:leader="none" w:pos="1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certain events of bankruptcy or insolvency, whether or not voluntary; and</w:t>
      </w:r>
    </w:p>
    <w:p>
      <w:pPr>
        <w:spacing w:after="0" w:line="102" w:lineRule="exact"/>
        <w:rPr>
          <w:rFonts w:ascii="Arial" w:cs="Arial" w:eastAsia="Arial" w:hAnsi="Arial"/>
          <w:sz w:val="17"/>
          <w:szCs w:val="17"/>
          <w:color w:val="auto"/>
        </w:rPr>
      </w:pPr>
    </w:p>
    <w:p>
      <w:pPr>
        <w:ind w:left="1640" w:right="839" w:hanging="156"/>
        <w:spacing w:after="0" w:line="260" w:lineRule="auto"/>
        <w:tabs>
          <w:tab w:leader="none" w:pos="1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other event of default provided for in such series of senior debt securities as may be specified in the applicable prospectus supplement.</w:t>
      </w:r>
    </w:p>
    <w:p>
      <w:pPr>
        <w:spacing w:after="0" w:line="110" w:lineRule="exact"/>
        <w:rPr>
          <w:sz w:val="20"/>
          <w:szCs w:val="20"/>
          <w:color w:val="auto"/>
        </w:rPr>
      </w:pPr>
    </w:p>
    <w:p>
      <w:pPr>
        <w:jc w:val="both"/>
        <w:ind w:left="1160" w:right="979" w:firstLine="331"/>
        <w:spacing w:after="0" w:line="237" w:lineRule="auto"/>
        <w:rPr>
          <w:sz w:val="20"/>
          <w:szCs w:val="20"/>
          <w:color w:val="auto"/>
        </w:rPr>
      </w:pPr>
      <w:r>
        <w:rPr>
          <w:rFonts w:ascii="Arial" w:cs="Arial" w:eastAsia="Arial" w:hAnsi="Arial"/>
          <w:sz w:val="17"/>
          <w:szCs w:val="17"/>
          <w:color w:val="auto"/>
        </w:rPr>
        <w:t>Unless we indicate otherwise in a prospectus supplement with respect to a particular series of senior debt securities, the default by us under any other debt, including any other series of our debt securities, is not a default under the senior indenture.</w:t>
      </w:r>
    </w:p>
    <w:p>
      <w:pPr>
        <w:spacing w:after="0" w:line="103" w:lineRule="exact"/>
        <w:rPr>
          <w:sz w:val="20"/>
          <w:szCs w:val="20"/>
          <w:color w:val="auto"/>
        </w:rPr>
      </w:pPr>
    </w:p>
    <w:p>
      <w:pPr>
        <w:ind w:left="1160" w:right="779" w:firstLine="331"/>
        <w:spacing w:after="0" w:line="231" w:lineRule="auto"/>
        <w:rPr>
          <w:sz w:val="20"/>
          <w:szCs w:val="20"/>
          <w:color w:val="auto"/>
        </w:rPr>
      </w:pPr>
      <w:r>
        <w:rPr>
          <w:rFonts w:ascii="Arial" w:cs="Arial" w:eastAsia="Arial" w:hAnsi="Arial"/>
          <w:sz w:val="17"/>
          <w:szCs w:val="17"/>
          <w:color w:val="auto"/>
        </w:rPr>
        <w:t>If an event of default other than an event of default specified in the fourth bullet point above occurs with respect to a series of senior debt securities and is continuing under the senior indenture, then, and in each such case, either the trustee or the holders of not less than 25% in aggregate principal amount of such series then outstanding under the senior indenture (each such series voting as a separate class) by written notice to us and to the trustee, if such notice is given by the holders, may, and the trustee at the request of such holders shall, declare the principal amount of and accrued interest on such series of senior debt securities to be immediately due and payable, and upon this declaration, the same shall become immediately due and payable.</w:t>
      </w:r>
    </w:p>
    <w:p>
      <w:pPr>
        <w:spacing w:after="0" w:line="120" w:lineRule="exact"/>
        <w:rPr>
          <w:sz w:val="20"/>
          <w:szCs w:val="20"/>
          <w:color w:val="auto"/>
        </w:rPr>
      </w:pPr>
    </w:p>
    <w:p>
      <w:pPr>
        <w:jc w:val="both"/>
        <w:ind w:left="1160" w:right="1139" w:firstLine="331"/>
        <w:spacing w:after="0" w:line="237" w:lineRule="auto"/>
        <w:rPr>
          <w:sz w:val="20"/>
          <w:szCs w:val="20"/>
          <w:color w:val="auto"/>
        </w:rPr>
      </w:pPr>
      <w:r>
        <w:rPr>
          <w:rFonts w:ascii="Arial" w:cs="Arial" w:eastAsia="Arial" w:hAnsi="Arial"/>
          <w:sz w:val="17"/>
          <w:szCs w:val="17"/>
          <w:color w:val="auto"/>
        </w:rPr>
        <w:t>If an event of default specified in the fourth bullet point above occurs and is continuing, the entire principal amount of and accrued interest on each series of senior debt securities then outstanding shall automatically become immediately due and payable.</w:t>
      </w:r>
    </w:p>
    <w:p>
      <w:pPr>
        <w:spacing w:after="0" w:line="103" w:lineRule="exact"/>
        <w:rPr>
          <w:sz w:val="20"/>
          <w:szCs w:val="20"/>
          <w:color w:val="auto"/>
        </w:rPr>
      </w:pPr>
    </w:p>
    <w:p>
      <w:pPr>
        <w:ind w:left="1160" w:right="879" w:firstLine="331"/>
        <w:spacing w:after="0" w:line="235" w:lineRule="auto"/>
        <w:rPr>
          <w:sz w:val="20"/>
          <w:szCs w:val="20"/>
          <w:color w:val="auto"/>
        </w:rPr>
      </w:pPr>
      <w:r>
        <w:rPr>
          <w:rFonts w:ascii="Arial" w:cs="Arial" w:eastAsia="Arial" w:hAnsi="Arial"/>
          <w:sz w:val="17"/>
          <w:szCs w:val="17"/>
          <w:color w:val="auto"/>
        </w:rPr>
        <w:t>Unless otherwise specified in the prospectus supplement relating to a series of senior debt securities originally issued at a discount, the amount due upon acceleration shall include only the original issue price of the senior debt securities, the amount of original issue discount accrued to the date of acceleration and accrued interest, if any.</w:t>
      </w:r>
    </w:p>
    <w:p>
      <w:pPr>
        <w:spacing w:after="0" w:line="115" w:lineRule="exact"/>
        <w:rPr>
          <w:sz w:val="20"/>
          <w:szCs w:val="20"/>
          <w:color w:val="auto"/>
        </w:rPr>
      </w:pPr>
    </w:p>
    <w:p>
      <w:pPr>
        <w:ind w:left="1160" w:right="759" w:firstLine="331"/>
        <w:spacing w:after="0" w:line="263" w:lineRule="auto"/>
        <w:rPr>
          <w:sz w:val="20"/>
          <w:szCs w:val="20"/>
          <w:color w:val="auto"/>
        </w:rPr>
      </w:pPr>
      <w:r>
        <w:rPr>
          <w:rFonts w:ascii="Arial" w:cs="Arial" w:eastAsia="Arial" w:hAnsi="Arial"/>
          <w:sz w:val="15"/>
          <w:szCs w:val="15"/>
          <w:color w:val="auto"/>
        </w:rPr>
        <w:t>Upon certain conditions, declarations of acceleration may be rescinded and annulled and past defaults may be waived by the holders of a majority in aggregate principal amount of all the senior debt securities of such series affected by the default, each series voting as a separate class. Furthermore, subject to various provisions in the senior indenture, the holders of a majority in aggregate principal amount of a series of senior debt securities, by notice to the trustee, may waive a continuing default or event of default with respect to such senior debt securities and its consequences, except a default in the payment of principal of or interest on such senior debt securities (other than any such default in payment resulting solely from an acceleration of the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w:t>
      </w:r>
    </w:p>
    <w:p>
      <w:pPr>
        <w:spacing w:after="0" w:line="287" w:lineRule="exact"/>
        <w:rPr>
          <w:sz w:val="20"/>
          <w:szCs w:val="20"/>
          <w:color w:val="auto"/>
        </w:rPr>
      </w:pPr>
    </w:p>
    <w:p>
      <w:pPr>
        <w:ind w:left="1160" w:right="759" w:firstLine="331"/>
        <w:spacing w:after="0" w:line="265" w:lineRule="auto"/>
        <w:rPr>
          <w:sz w:val="20"/>
          <w:szCs w:val="20"/>
          <w:color w:val="auto"/>
        </w:rPr>
      </w:pPr>
      <w:r>
        <w:rPr>
          <w:rFonts w:ascii="Arial" w:cs="Arial" w:eastAsia="Arial" w:hAnsi="Arial"/>
          <w:sz w:val="15"/>
          <w:szCs w:val="15"/>
          <w:color w:val="auto"/>
        </w:rPr>
        <w:t>The holders of a majority in aggregate principal amount of a series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series of senior debt securities not joining in the giving of such direction and may take any other action it deems proper that is not inconsistent with any such direction received from holders of such series of senior debt securities. A holder may not pursue any remedy with respect to the senior indenture or any series of senior debt securities unless:</w:t>
      </w:r>
    </w:p>
    <w:p>
      <w:pPr>
        <w:spacing w:after="0" w:line="60" w:lineRule="exact"/>
        <w:rPr>
          <w:sz w:val="20"/>
          <w:szCs w:val="20"/>
          <w:color w:val="auto"/>
        </w:rPr>
      </w:pPr>
    </w:p>
    <w:p>
      <w:pPr>
        <w:ind w:left="1640" w:hanging="156"/>
        <w:spacing w:after="0"/>
        <w:tabs>
          <w:tab w:leader="none" w:pos="1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holder gives the trustee written notice of a continuing event of default;</w:t>
      </w:r>
    </w:p>
    <w:p>
      <w:pPr>
        <w:spacing w:after="0" w:line="89" w:lineRule="exact"/>
        <w:rPr>
          <w:rFonts w:ascii="Arial" w:cs="Arial" w:eastAsia="Arial" w:hAnsi="Arial"/>
          <w:sz w:val="17"/>
          <w:szCs w:val="17"/>
          <w:color w:val="auto"/>
        </w:rPr>
      </w:pPr>
    </w:p>
    <w:p>
      <w:pPr>
        <w:ind w:left="1640" w:right="1139" w:hanging="156"/>
        <w:spacing w:after="0" w:line="327" w:lineRule="auto"/>
        <w:tabs>
          <w:tab w:leader="none" w:pos="16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holders of at least 25% in aggregate principal amount of such series of senior debt securities make a written request to the trustee to pursue the remedy in respect of such event of default;</w:t>
      </w:r>
    </w:p>
    <w:p>
      <w:pPr>
        <w:spacing w:after="0" w:line="26" w:lineRule="exact"/>
        <w:rPr>
          <w:rFonts w:ascii="Arial" w:cs="Arial" w:eastAsia="Arial" w:hAnsi="Arial"/>
          <w:sz w:val="15"/>
          <w:szCs w:val="15"/>
          <w:color w:val="auto"/>
        </w:rPr>
      </w:pPr>
    </w:p>
    <w:p>
      <w:pPr>
        <w:ind w:left="1640" w:right="1079" w:hanging="156"/>
        <w:spacing w:after="0" w:line="260" w:lineRule="auto"/>
        <w:tabs>
          <w:tab w:leader="none" w:pos="1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requesting holder or holders offer the trustee indemnity satisfactory to the trustee against any costs, liability or expense;</w:t>
      </w:r>
    </w:p>
    <w:p>
      <w:pPr>
        <w:spacing w:after="0" w:line="333"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225425</wp:posOffset>
            </wp:positionV>
            <wp:extent cx="627126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1">
                      <a:extLst>
                        <a:ext uri="{28A0092B-C50C-407E-A947-70E740481C1C}"/>
                      </a:extLst>
                    </a:blip>
                    <a:srcRect/>
                    <a:stretch>
                      <a:fillRect/>
                    </a:stretch>
                  </pic:blipFill>
                  <pic:spPr bwMode="auto">
                    <a:xfrm>
                      <a:off x="0" y="0"/>
                      <a:ext cx="6271260" cy="41275"/>
                    </a:xfrm>
                    <a:prstGeom prst="rect">
                      <a:avLst/>
                    </a:prstGeom>
                    <a:noFill/>
                  </pic:spPr>
                </pic:pic>
              </a:graphicData>
            </a:graphic>
          </wp:anchor>
        </w:drawing>
      </w:r>
    </w:p>
    <w:p>
      <w:pPr>
        <w:sectPr>
          <w:pgSz w:w="11900" w:h="16838" w:orient="portrait"/>
          <w:cols w:equalWidth="0" w:num="1">
            <w:col w:w="9439"/>
          </w:cols>
          <w:pgMar w:left="1020" w:top="131" w:right="1440" w:bottom="1440" w:gutter="0" w:footer="0" w:header="0"/>
        </w:sectPr>
      </w:pPr>
    </w:p>
    <w:bookmarkStart w:id="12" w:name="page13"/>
    <w:bookmarkEnd w:id="12"/>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640" w:right="859" w:hanging="156"/>
        <w:spacing w:after="0" w:line="260" w:lineRule="auto"/>
        <w:tabs>
          <w:tab w:leader="none" w:pos="1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trustee does not comply with the request within 60 days after receipt of the request and the offer of indemnity; and</w:t>
      </w:r>
    </w:p>
    <w:p>
      <w:pPr>
        <w:spacing w:after="0" w:line="72" w:lineRule="exact"/>
        <w:rPr>
          <w:rFonts w:ascii="Arial" w:cs="Arial" w:eastAsia="Arial" w:hAnsi="Arial"/>
          <w:sz w:val="17"/>
          <w:szCs w:val="17"/>
          <w:color w:val="auto"/>
        </w:rPr>
      </w:pPr>
    </w:p>
    <w:p>
      <w:pPr>
        <w:ind w:left="1640" w:right="879" w:hanging="156"/>
        <w:spacing w:after="0" w:line="327" w:lineRule="auto"/>
        <w:tabs>
          <w:tab w:leader="none" w:pos="16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during such 60-day period, the holders of a majority in aggregate principal amount of such series of senior debt securities do not give the trustee a direction that is inconsistent with the request.</w:t>
      </w:r>
    </w:p>
    <w:p>
      <w:pPr>
        <w:spacing w:after="0" w:line="51" w:lineRule="exact"/>
        <w:rPr>
          <w:sz w:val="20"/>
          <w:szCs w:val="20"/>
          <w:color w:val="auto"/>
        </w:rPr>
      </w:pPr>
    </w:p>
    <w:p>
      <w:pPr>
        <w:ind w:left="1160" w:right="799" w:firstLine="331"/>
        <w:spacing w:after="0" w:line="234" w:lineRule="auto"/>
        <w:rPr>
          <w:sz w:val="20"/>
          <w:szCs w:val="20"/>
          <w:color w:val="auto"/>
        </w:rPr>
      </w:pPr>
      <w:r>
        <w:rPr>
          <w:rFonts w:ascii="Arial" w:cs="Arial" w:eastAsia="Arial" w:hAnsi="Arial"/>
          <w:sz w:val="17"/>
          <w:szCs w:val="17"/>
          <w:color w:val="auto"/>
        </w:rPr>
        <w:t>These limitations, however, do not apply to the right of any holder of a senior debt security of any affected series to receive payment of the principal of and interest on such senior debt security in accordance with the terms of such debt security, or to bring suit for the enforcement of any such payment in accordance with the terms of such debt security, on or after the due date for the senior debt securities, which right shall not be impaired or affected without the consent of the holder.</w:t>
      </w:r>
    </w:p>
    <w:p>
      <w:pPr>
        <w:spacing w:after="0" w:line="114" w:lineRule="exact"/>
        <w:rPr>
          <w:sz w:val="20"/>
          <w:szCs w:val="20"/>
          <w:color w:val="auto"/>
        </w:rPr>
      </w:pPr>
    </w:p>
    <w:p>
      <w:pPr>
        <w:jc w:val="both"/>
        <w:ind w:left="1160" w:right="839" w:firstLine="331"/>
        <w:spacing w:after="0" w:line="237" w:lineRule="auto"/>
        <w:rPr>
          <w:sz w:val="20"/>
          <w:szCs w:val="20"/>
          <w:color w:val="auto"/>
        </w:rPr>
      </w:pPr>
      <w:r>
        <w:rPr>
          <w:rFonts w:ascii="Arial" w:cs="Arial" w:eastAsia="Arial" w:hAnsi="Arial"/>
          <w:sz w:val="17"/>
          <w:szCs w:val="17"/>
          <w:color w:val="auto"/>
        </w:rPr>
        <w:t>The senior indenture requires certain of our officers to certify, on or before a fixed date in each year in which any senior debt security is outstanding, as to their knowledge of our compliance with all covenants, agreements and conditions under the senior indenture.</w:t>
      </w:r>
    </w:p>
    <w:p>
      <w:pPr>
        <w:spacing w:after="0" w:line="103" w:lineRule="exact"/>
        <w:rPr>
          <w:sz w:val="20"/>
          <w:szCs w:val="20"/>
          <w:color w:val="auto"/>
        </w:rPr>
      </w:pPr>
    </w:p>
    <w:p>
      <w:pPr>
        <w:ind w:left="1160" w:right="1039" w:firstLine="331"/>
        <w:spacing w:after="0" w:line="245" w:lineRule="auto"/>
        <w:rPr>
          <w:sz w:val="20"/>
          <w:szCs w:val="20"/>
          <w:color w:val="auto"/>
        </w:rPr>
      </w:pPr>
      <w:r>
        <w:rPr>
          <w:rFonts w:ascii="Arial" w:cs="Arial" w:eastAsia="Arial" w:hAnsi="Arial"/>
          <w:sz w:val="17"/>
          <w:szCs w:val="17"/>
          <w:i w:val="1"/>
          <w:iCs w:val="1"/>
          <w:color w:val="auto"/>
        </w:rPr>
        <w:t>Satisfaction and Discharge</w:t>
      </w:r>
      <w:r>
        <w:rPr>
          <w:rFonts w:ascii="Arial" w:cs="Arial" w:eastAsia="Arial" w:hAnsi="Arial"/>
          <w:sz w:val="17"/>
          <w:szCs w:val="17"/>
          <w:color w:val="auto"/>
        </w:rPr>
        <w:t>. We can satisfy and discharge our obligations to holders of any series of</w:t>
      </w:r>
      <w:r>
        <w:rPr>
          <w:rFonts w:ascii="Arial" w:cs="Arial" w:eastAsia="Arial" w:hAnsi="Arial"/>
          <w:sz w:val="17"/>
          <w:szCs w:val="17"/>
          <w:i w:val="1"/>
          <w:iCs w:val="1"/>
          <w:color w:val="auto"/>
        </w:rPr>
        <w:t xml:space="preserve"> </w:t>
      </w:r>
      <w:r>
        <w:rPr>
          <w:rFonts w:ascii="Arial" w:cs="Arial" w:eastAsia="Arial" w:hAnsi="Arial"/>
          <w:sz w:val="17"/>
          <w:szCs w:val="17"/>
          <w:color w:val="auto"/>
        </w:rPr>
        <w:t>debt securities if:</w:t>
      </w:r>
    </w:p>
    <w:p>
      <w:pPr>
        <w:spacing w:after="0" w:line="72" w:lineRule="exact"/>
        <w:rPr>
          <w:sz w:val="20"/>
          <w:szCs w:val="20"/>
          <w:color w:val="auto"/>
        </w:rPr>
      </w:pPr>
    </w:p>
    <w:p>
      <w:pPr>
        <w:ind w:left="1640" w:right="999" w:hanging="156"/>
        <w:spacing w:after="0" w:line="260" w:lineRule="auto"/>
        <w:tabs>
          <w:tab w:leader="none" w:pos="1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have paid or caused to be paid the principal of and interest on all senior debt securities of such series (with certain limited exceptions) when due and payable; or</w:t>
      </w:r>
    </w:p>
    <w:p>
      <w:pPr>
        <w:spacing w:after="0" w:line="72" w:lineRule="exact"/>
        <w:rPr>
          <w:rFonts w:ascii="Arial" w:cs="Arial" w:eastAsia="Arial" w:hAnsi="Arial"/>
          <w:sz w:val="17"/>
          <w:szCs w:val="17"/>
          <w:color w:val="auto"/>
        </w:rPr>
      </w:pPr>
    </w:p>
    <w:p>
      <w:pPr>
        <w:ind w:left="1640" w:right="999" w:hanging="156"/>
        <w:spacing w:after="0" w:line="260" w:lineRule="auto"/>
        <w:tabs>
          <w:tab w:leader="none" w:pos="1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deliver to the senior trustee for cancellation all senior debt securities of such series theretofore authenticated under the senior indenture (with certain limited exceptions); or</w:t>
      </w:r>
    </w:p>
    <w:p>
      <w:pPr>
        <w:spacing w:after="0" w:line="72" w:lineRule="exact"/>
        <w:rPr>
          <w:rFonts w:ascii="Arial" w:cs="Arial" w:eastAsia="Arial" w:hAnsi="Arial"/>
          <w:sz w:val="17"/>
          <w:szCs w:val="17"/>
          <w:color w:val="auto"/>
        </w:rPr>
      </w:pPr>
    </w:p>
    <w:p>
      <w:pPr>
        <w:ind w:left="1640" w:right="819" w:hanging="156"/>
        <w:spacing w:after="0" w:line="246" w:lineRule="auto"/>
        <w:tabs>
          <w:tab w:leader="none" w:pos="1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all senior debt securities of such series have become due and payable or will become due and payable within one year (or are to be called for redemption within one year under arrangements satisfactory to the senior trustee) and we deposit in trust an amount of cash or a combination of cash and U.S. government or U.S. government agency obligations (or in the case of senior debt securities denominated in a foreign currency, foreign government securities or foreign government agency securities) sufficient to make interest, principal and any other payments on the debt securities of that series on their various due dates;</w:t>
      </w:r>
    </w:p>
    <w:p>
      <w:pPr>
        <w:spacing w:after="0" w:line="123" w:lineRule="exact"/>
        <w:rPr>
          <w:sz w:val="20"/>
          <w:szCs w:val="20"/>
          <w:color w:val="auto"/>
        </w:rPr>
      </w:pPr>
    </w:p>
    <w:p>
      <w:pPr>
        <w:jc w:val="both"/>
        <w:ind w:left="1160" w:right="899"/>
        <w:spacing w:after="0" w:line="284" w:lineRule="auto"/>
        <w:rPr>
          <w:sz w:val="20"/>
          <w:szCs w:val="20"/>
          <w:color w:val="auto"/>
        </w:rPr>
      </w:pPr>
      <w:r>
        <w:rPr>
          <w:rFonts w:ascii="Arial" w:cs="Arial" w:eastAsia="Arial" w:hAnsi="Arial"/>
          <w:sz w:val="15"/>
          <w:szCs w:val="15"/>
          <w:color w:val="auto"/>
        </w:rPr>
        <w:t>and if, in any such case, we also pay or cause to be paid all other sums payable under the senior indenture, as and when the same shall be due and payable and we deliver to the senior trustee an officer’s certificate and an opinion of counsel, each stating that these conditions have been satisfied.</w:t>
      </w:r>
    </w:p>
    <w:p>
      <w:pPr>
        <w:spacing w:after="0" w:line="70" w:lineRule="exact"/>
        <w:rPr>
          <w:sz w:val="20"/>
          <w:szCs w:val="20"/>
          <w:color w:val="auto"/>
        </w:rPr>
      </w:pPr>
    </w:p>
    <w:p>
      <w:pPr>
        <w:ind w:left="1160" w:right="879" w:firstLine="331"/>
        <w:spacing w:after="0" w:line="247" w:lineRule="auto"/>
        <w:rPr>
          <w:sz w:val="20"/>
          <w:szCs w:val="20"/>
          <w:color w:val="auto"/>
        </w:rPr>
      </w:pPr>
      <w:r>
        <w:rPr>
          <w:rFonts w:ascii="Arial" w:cs="Arial" w:eastAsia="Arial" w:hAnsi="Arial"/>
          <w:sz w:val="17"/>
          <w:szCs w:val="17"/>
          <w:color w:val="auto"/>
        </w:rPr>
        <w:t>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 Purchasers of the debt securities should consult their own advisers with respect to the tax consequences to them of such deposit and discharge, including the applicability and effect of tax laws other than the U.S. federal income tax law.</w:t>
      </w:r>
    </w:p>
    <w:p>
      <w:pPr>
        <w:spacing w:after="0" w:line="120" w:lineRule="exact"/>
        <w:rPr>
          <w:sz w:val="20"/>
          <w:szCs w:val="20"/>
          <w:color w:val="auto"/>
        </w:rPr>
      </w:pPr>
    </w:p>
    <w:p>
      <w:pPr>
        <w:ind w:left="1160" w:right="819" w:firstLine="331"/>
        <w:spacing w:after="0" w:line="252" w:lineRule="auto"/>
        <w:rPr>
          <w:sz w:val="20"/>
          <w:szCs w:val="20"/>
          <w:color w:val="auto"/>
        </w:rPr>
      </w:pPr>
      <w:r>
        <w:rPr>
          <w:rFonts w:ascii="Arial" w:cs="Arial" w:eastAsia="Arial" w:hAnsi="Arial"/>
          <w:sz w:val="17"/>
          <w:szCs w:val="17"/>
          <w:i w:val="1"/>
          <w:iCs w:val="1"/>
          <w:color w:val="auto"/>
        </w:rPr>
        <w:t xml:space="preserve">Defeasance. </w:t>
      </w:r>
      <w:r>
        <w:rPr>
          <w:rFonts w:ascii="Arial" w:cs="Arial" w:eastAsia="Arial" w:hAnsi="Arial"/>
          <w:sz w:val="17"/>
          <w:szCs w:val="17"/>
          <w:color w:val="auto"/>
        </w:rPr>
        <w:t>Unless the applicable prospectus supplement provides otherwise, the following discussion</w:t>
      </w:r>
      <w:r>
        <w:rPr>
          <w:rFonts w:ascii="Arial" w:cs="Arial" w:eastAsia="Arial" w:hAnsi="Arial"/>
          <w:sz w:val="17"/>
          <w:szCs w:val="17"/>
          <w:i w:val="1"/>
          <w:iCs w:val="1"/>
          <w:color w:val="auto"/>
        </w:rPr>
        <w:t xml:space="preserve"> </w:t>
      </w:r>
      <w:r>
        <w:rPr>
          <w:rFonts w:ascii="Arial" w:cs="Arial" w:eastAsia="Arial" w:hAnsi="Arial"/>
          <w:sz w:val="17"/>
          <w:szCs w:val="17"/>
          <w:color w:val="auto"/>
        </w:rPr>
        <w:t>of legal defeasance and covenant defeasance will apply to any series of debt securities issued under the indentures.</w:t>
      </w:r>
    </w:p>
    <w:p>
      <w:pPr>
        <w:spacing w:after="0" w:line="116" w:lineRule="exact"/>
        <w:rPr>
          <w:sz w:val="20"/>
          <w:szCs w:val="20"/>
          <w:color w:val="auto"/>
        </w:rPr>
      </w:pPr>
    </w:p>
    <w:p>
      <w:pPr>
        <w:ind w:left="1160" w:right="839" w:firstLine="331"/>
        <w:spacing w:after="0" w:line="327" w:lineRule="auto"/>
        <w:rPr>
          <w:sz w:val="20"/>
          <w:szCs w:val="20"/>
          <w:color w:val="auto"/>
        </w:rPr>
      </w:pPr>
      <w:r>
        <w:rPr>
          <w:rFonts w:ascii="Arial" w:cs="Arial" w:eastAsia="Arial" w:hAnsi="Arial"/>
          <w:sz w:val="15"/>
          <w:szCs w:val="15"/>
          <w:i w:val="1"/>
          <w:iCs w:val="1"/>
          <w:color w:val="auto"/>
        </w:rPr>
        <w:t>Legal Defeasance</w:t>
      </w:r>
      <w:r>
        <w:rPr>
          <w:rFonts w:ascii="Arial" w:cs="Arial" w:eastAsia="Arial" w:hAnsi="Arial"/>
          <w:sz w:val="15"/>
          <w:szCs w:val="15"/>
          <w:color w:val="auto"/>
        </w:rPr>
        <w:t>. We can legally release ourselves from any payment or other obligations on the debt</w:t>
      </w:r>
      <w:r>
        <w:rPr>
          <w:rFonts w:ascii="Arial" w:cs="Arial" w:eastAsia="Arial" w:hAnsi="Arial"/>
          <w:sz w:val="15"/>
          <w:szCs w:val="15"/>
          <w:i w:val="1"/>
          <w:iCs w:val="1"/>
          <w:color w:val="auto"/>
        </w:rPr>
        <w:t xml:space="preserve"> </w:t>
      </w:r>
      <w:r>
        <w:rPr>
          <w:rFonts w:ascii="Arial" w:cs="Arial" w:eastAsia="Arial" w:hAnsi="Arial"/>
          <w:sz w:val="15"/>
          <w:szCs w:val="15"/>
          <w:color w:val="auto"/>
        </w:rPr>
        <w:t>securities of any series (called “legal defeasance”) if certain conditions are met, including the following:</w:t>
      </w:r>
    </w:p>
    <w:p>
      <w:pPr>
        <w:spacing w:after="0" w:line="26" w:lineRule="exact"/>
        <w:rPr>
          <w:sz w:val="20"/>
          <w:szCs w:val="20"/>
          <w:color w:val="auto"/>
        </w:rPr>
      </w:pPr>
    </w:p>
    <w:p>
      <w:pPr>
        <w:ind w:left="1640" w:right="799" w:hanging="156"/>
        <w:spacing w:after="0" w:line="247" w:lineRule="auto"/>
        <w:tabs>
          <w:tab w:leader="none" w:pos="1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w:t>
      </w:r>
    </w:p>
    <w:p>
      <w:pPr>
        <w:spacing w:after="0" w:line="82" w:lineRule="exact"/>
        <w:rPr>
          <w:rFonts w:ascii="Arial" w:cs="Arial" w:eastAsia="Arial" w:hAnsi="Arial"/>
          <w:sz w:val="17"/>
          <w:szCs w:val="17"/>
          <w:color w:val="auto"/>
        </w:rPr>
      </w:pPr>
    </w:p>
    <w:p>
      <w:pPr>
        <w:jc w:val="both"/>
        <w:ind w:left="1640" w:right="759" w:hanging="156"/>
        <w:spacing w:after="0" w:line="301" w:lineRule="auto"/>
        <w:tabs>
          <w:tab w:leader="none" w:pos="16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There is a change in current U.S. federal income tax law or an IRS ruling that lets us make the above deposit without causing you to be taxed on the debt securities any differently than if we did not make the deposit and instead repaid the debt securities ourselves when due. Under current U.S. federal</w:t>
      </w:r>
    </w:p>
    <w:p>
      <w:pPr>
        <w:spacing w:after="0" w:line="306"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225425</wp:posOffset>
            </wp:positionV>
            <wp:extent cx="627126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2">
                      <a:extLst>
                        <a:ext uri="{28A0092B-C50C-407E-A947-70E740481C1C}"/>
                      </a:extLst>
                    </a:blip>
                    <a:srcRect/>
                    <a:stretch>
                      <a:fillRect/>
                    </a:stretch>
                  </pic:blipFill>
                  <pic:spPr bwMode="auto">
                    <a:xfrm>
                      <a:off x="0" y="0"/>
                      <a:ext cx="6271260" cy="41275"/>
                    </a:xfrm>
                    <a:prstGeom prst="rect">
                      <a:avLst/>
                    </a:prstGeom>
                    <a:noFill/>
                  </pic:spPr>
                </pic:pic>
              </a:graphicData>
            </a:graphic>
          </wp:anchor>
        </w:drawing>
      </w:r>
    </w:p>
    <w:p>
      <w:pPr>
        <w:sectPr>
          <w:pgSz w:w="11900" w:h="16838" w:orient="portrait"/>
          <w:cols w:equalWidth="0" w:num="1">
            <w:col w:w="9439"/>
          </w:cols>
          <w:pgMar w:left="1020" w:top="132" w:right="1440" w:bottom="1440" w:gutter="0" w:footer="0" w:header="0"/>
        </w:sectPr>
      </w:pPr>
    </w:p>
    <w:bookmarkStart w:id="13" w:name="page14"/>
    <w:bookmarkEnd w:id="13"/>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640" w:right="759"/>
        <w:spacing w:after="0" w:line="249" w:lineRule="auto"/>
        <w:rPr>
          <w:sz w:val="20"/>
          <w:szCs w:val="20"/>
          <w:color w:val="auto"/>
        </w:rPr>
      </w:pPr>
      <w:r>
        <w:rPr>
          <w:rFonts w:ascii="Arial" w:cs="Arial" w:eastAsia="Arial" w:hAnsi="Arial"/>
          <w:sz w:val="17"/>
          <w:szCs w:val="17"/>
          <w:color w:val="auto"/>
        </w:rPr>
        <w:t>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w:t>
      </w:r>
    </w:p>
    <w:p>
      <w:pPr>
        <w:spacing w:after="0" w:line="82" w:lineRule="exact"/>
        <w:rPr>
          <w:sz w:val="20"/>
          <w:szCs w:val="20"/>
          <w:color w:val="auto"/>
        </w:rPr>
      </w:pPr>
    </w:p>
    <w:p>
      <w:pPr>
        <w:ind w:left="1640" w:right="1179" w:hanging="156"/>
        <w:spacing w:after="0" w:line="260" w:lineRule="auto"/>
        <w:tabs>
          <w:tab w:leader="none" w:pos="1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deliver to the trustee a legal opinion of our counsel confirming the tax law change or ruling described above.</w:t>
      </w:r>
    </w:p>
    <w:p>
      <w:pPr>
        <w:spacing w:after="0" w:line="110" w:lineRule="exact"/>
        <w:rPr>
          <w:sz w:val="20"/>
          <w:szCs w:val="20"/>
          <w:color w:val="auto"/>
        </w:rPr>
      </w:pPr>
    </w:p>
    <w:p>
      <w:pPr>
        <w:jc w:val="both"/>
        <w:ind w:left="1160" w:right="1139" w:firstLine="331"/>
        <w:spacing w:after="0" w:line="252" w:lineRule="auto"/>
        <w:rPr>
          <w:sz w:val="20"/>
          <w:szCs w:val="20"/>
          <w:color w:val="auto"/>
        </w:rPr>
      </w:pPr>
      <w:r>
        <w:rPr>
          <w:rFonts w:ascii="Arial" w:cs="Arial" w:eastAsia="Arial" w:hAnsi="Arial"/>
          <w:sz w:val="17"/>
          <w:szCs w:val="17"/>
          <w:color w:val="auto"/>
        </w:rPr>
        <w:t>If we accomplish legal defeasance, as described above, you would have to rely solely on the trust deposit for repayment of the debt securities. You could not look to us for repayment in the event of any shortfall.</w:t>
      </w:r>
    </w:p>
    <w:p>
      <w:pPr>
        <w:spacing w:after="0" w:line="104" w:lineRule="exact"/>
        <w:rPr>
          <w:sz w:val="20"/>
          <w:szCs w:val="20"/>
          <w:color w:val="auto"/>
        </w:rPr>
      </w:pPr>
    </w:p>
    <w:p>
      <w:pPr>
        <w:ind w:left="1160" w:right="859" w:firstLine="331"/>
        <w:spacing w:after="0" w:line="288" w:lineRule="auto"/>
        <w:rPr>
          <w:sz w:val="20"/>
          <w:szCs w:val="20"/>
          <w:color w:val="auto"/>
        </w:rPr>
      </w:pPr>
      <w:r>
        <w:rPr>
          <w:rFonts w:ascii="Arial" w:cs="Arial" w:eastAsia="Arial" w:hAnsi="Arial"/>
          <w:sz w:val="15"/>
          <w:szCs w:val="15"/>
          <w:i w:val="1"/>
          <w:iCs w:val="1"/>
          <w:color w:val="auto"/>
        </w:rPr>
        <w:t>Covenant Defeasance</w:t>
      </w:r>
      <w:r>
        <w:rPr>
          <w:rFonts w:ascii="Arial" w:cs="Arial" w:eastAsia="Arial" w:hAnsi="Arial"/>
          <w:sz w:val="15"/>
          <w:szCs w:val="15"/>
          <w:color w:val="auto"/>
        </w:rPr>
        <w:t>. Without any change in current U.S. federal tax law, we can make the same type</w:t>
      </w:r>
      <w:r>
        <w:rPr>
          <w:rFonts w:ascii="Arial" w:cs="Arial" w:eastAsia="Arial" w:hAnsi="Arial"/>
          <w:sz w:val="15"/>
          <w:szCs w:val="15"/>
          <w:i w:val="1"/>
          <w:iCs w:val="1"/>
          <w:color w:val="auto"/>
        </w:rPr>
        <w:t xml:space="preserve"> </w:t>
      </w:r>
      <w:r>
        <w:rPr>
          <w:rFonts w:ascii="Arial" w:cs="Arial" w:eastAsia="Arial" w:hAnsi="Arial"/>
          <w:sz w:val="15"/>
          <w:szCs w:val="15"/>
          <w:color w:val="auto"/>
        </w:rPr>
        <w:t>of deposit described above and be released from some of the covenants in the debt securities (called “covenant defeasance”). In that event, you would lose the protection of those covenants but would gain the protection of having money and securities set aside in trust to repay the debt securities. In order to achieve covenant defeasance, we must do the following (among other things):</w:t>
      </w:r>
    </w:p>
    <w:p>
      <w:pPr>
        <w:spacing w:after="0" w:line="57" w:lineRule="exact"/>
        <w:rPr>
          <w:sz w:val="20"/>
          <w:szCs w:val="20"/>
          <w:color w:val="auto"/>
        </w:rPr>
      </w:pPr>
    </w:p>
    <w:p>
      <w:pPr>
        <w:ind w:left="1640" w:right="799" w:hanging="156"/>
        <w:spacing w:after="0" w:line="247" w:lineRule="auto"/>
        <w:tabs>
          <w:tab w:leader="none" w:pos="1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w:t>
      </w:r>
    </w:p>
    <w:p>
      <w:pPr>
        <w:spacing w:after="0" w:line="95" w:lineRule="exact"/>
        <w:rPr>
          <w:rFonts w:ascii="Arial" w:cs="Arial" w:eastAsia="Arial" w:hAnsi="Arial"/>
          <w:sz w:val="17"/>
          <w:szCs w:val="17"/>
          <w:color w:val="auto"/>
        </w:rPr>
      </w:pPr>
    </w:p>
    <w:p>
      <w:pPr>
        <w:ind w:left="1640" w:right="979" w:hanging="156"/>
        <w:spacing w:after="0" w:line="249" w:lineRule="auto"/>
        <w:tabs>
          <w:tab w:leader="none" w:pos="1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deliver to the trustee a legal opinion of our counsel confirming that under current U.S. federal income tax law we may make the above deposit without causing you to be taxed on the debt securities any differently than if we did not make the deposit and instead repaid the debt securities ourselves when due.</w:t>
      </w:r>
    </w:p>
    <w:p>
      <w:pPr>
        <w:spacing w:after="0" w:line="107" w:lineRule="exact"/>
        <w:rPr>
          <w:sz w:val="20"/>
          <w:szCs w:val="20"/>
          <w:color w:val="auto"/>
        </w:rPr>
      </w:pPr>
    </w:p>
    <w:p>
      <w:pPr>
        <w:ind w:left="1160" w:right="819" w:firstLine="331"/>
        <w:spacing w:after="0" w:line="293" w:lineRule="auto"/>
        <w:rPr>
          <w:sz w:val="20"/>
          <w:szCs w:val="20"/>
          <w:color w:val="auto"/>
        </w:rPr>
      </w:pPr>
      <w:r>
        <w:rPr>
          <w:rFonts w:ascii="Arial" w:cs="Arial" w:eastAsia="Arial" w:hAnsi="Arial"/>
          <w:sz w:val="15"/>
          <w:szCs w:val="15"/>
          <w:color w:val="auto"/>
        </w:rPr>
        <w:t>If we accomplish covenant defeasance, you could still look to us for repayment of the debt securities if there were a shortfall in the trust deposit. In fact, if one of the events of default occurred (such as our bankruptcy) and the debt securities become immediately due and payable, there may be such a shortfall. Depending on the events causing the default, you may not be able to obtain payment of the shortfall.</w:t>
      </w:r>
    </w:p>
    <w:p>
      <w:pPr>
        <w:spacing w:after="0" w:line="88" w:lineRule="exact"/>
        <w:rPr>
          <w:sz w:val="20"/>
          <w:szCs w:val="20"/>
          <w:color w:val="auto"/>
        </w:rPr>
      </w:pPr>
    </w:p>
    <w:p>
      <w:pPr>
        <w:ind w:left="1160" w:right="1139" w:firstLine="331"/>
        <w:spacing w:after="0" w:line="260" w:lineRule="auto"/>
        <w:rPr>
          <w:sz w:val="20"/>
          <w:szCs w:val="20"/>
          <w:color w:val="auto"/>
        </w:rPr>
      </w:pPr>
      <w:r>
        <w:rPr>
          <w:rFonts w:ascii="Arial" w:cs="Arial" w:eastAsia="Arial" w:hAnsi="Arial"/>
          <w:sz w:val="17"/>
          <w:szCs w:val="17"/>
          <w:i w:val="1"/>
          <w:iCs w:val="1"/>
          <w:color w:val="auto"/>
        </w:rPr>
        <w:t xml:space="preserve">Modification and Waiver. </w:t>
      </w:r>
      <w:r>
        <w:rPr>
          <w:rFonts w:ascii="Arial" w:cs="Arial" w:eastAsia="Arial" w:hAnsi="Arial"/>
          <w:sz w:val="17"/>
          <w:szCs w:val="17"/>
          <w:color w:val="auto"/>
        </w:rPr>
        <w:t>We and the trustee may amend or supplement the senior indenture or the</w:t>
      </w:r>
      <w:r>
        <w:rPr>
          <w:rFonts w:ascii="Arial" w:cs="Arial" w:eastAsia="Arial" w:hAnsi="Arial"/>
          <w:sz w:val="17"/>
          <w:szCs w:val="17"/>
          <w:i w:val="1"/>
          <w:iCs w:val="1"/>
          <w:color w:val="auto"/>
        </w:rPr>
        <w:t xml:space="preserve"> </w:t>
      </w:r>
      <w:r>
        <w:rPr>
          <w:rFonts w:ascii="Arial" w:cs="Arial" w:eastAsia="Arial" w:hAnsi="Arial"/>
          <w:sz w:val="17"/>
          <w:szCs w:val="17"/>
          <w:color w:val="auto"/>
        </w:rPr>
        <w:t>senior debt securities of any series without the consent of any holder:</w:t>
      </w:r>
    </w:p>
    <w:p>
      <w:pPr>
        <w:spacing w:after="0" w:line="73" w:lineRule="exact"/>
        <w:rPr>
          <w:sz w:val="20"/>
          <w:szCs w:val="20"/>
          <w:color w:val="auto"/>
        </w:rPr>
      </w:pPr>
    </w:p>
    <w:p>
      <w:pPr>
        <w:ind w:left="1640" w:right="819" w:hanging="156"/>
        <w:spacing w:after="0" w:line="260" w:lineRule="auto"/>
        <w:tabs>
          <w:tab w:leader="none" w:pos="1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to convey, transfer, assign, mortgage or pledge any assets as security for the senior debt securities of one or more series;</w:t>
      </w:r>
    </w:p>
    <w:p>
      <w:pPr>
        <w:spacing w:after="0" w:line="84" w:lineRule="exact"/>
        <w:rPr>
          <w:rFonts w:ascii="Arial" w:cs="Arial" w:eastAsia="Arial" w:hAnsi="Arial"/>
          <w:sz w:val="17"/>
          <w:szCs w:val="17"/>
          <w:color w:val="auto"/>
        </w:rPr>
      </w:pPr>
    </w:p>
    <w:p>
      <w:pPr>
        <w:ind w:left="1640" w:right="839" w:hanging="156"/>
        <w:spacing w:after="0" w:line="249" w:lineRule="auto"/>
        <w:tabs>
          <w:tab w:leader="none" w:pos="1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to evidence the succession of a corporation, limited liability company, partnership or trust to us, and the assumption by such successor of our covenants, agreements and obligations under the senior indenture or to otherwise comply with the covenant relating to mergers, consolidations and sales of assets;</w:t>
      </w:r>
    </w:p>
    <w:p>
      <w:pPr>
        <w:spacing w:after="0" w:line="81" w:lineRule="exact"/>
        <w:rPr>
          <w:rFonts w:ascii="Arial" w:cs="Arial" w:eastAsia="Arial" w:hAnsi="Arial"/>
          <w:sz w:val="17"/>
          <w:szCs w:val="17"/>
          <w:color w:val="auto"/>
        </w:rPr>
      </w:pPr>
    </w:p>
    <w:p>
      <w:pPr>
        <w:jc w:val="both"/>
        <w:ind w:left="1640" w:right="1059" w:hanging="156"/>
        <w:spacing w:after="0" w:line="327" w:lineRule="auto"/>
        <w:tabs>
          <w:tab w:leader="none" w:pos="16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to comply with the requirements of the SEC in order to effect or maintain the qualification of the senior indenture under the Trust Indenture Act of 1939, as amended (the “Trust Indenture Act”);</w:t>
      </w:r>
    </w:p>
    <w:p>
      <w:pPr>
        <w:spacing w:after="0" w:line="26" w:lineRule="exact"/>
        <w:rPr>
          <w:rFonts w:ascii="Arial" w:cs="Arial" w:eastAsia="Arial" w:hAnsi="Arial"/>
          <w:sz w:val="15"/>
          <w:szCs w:val="15"/>
          <w:color w:val="auto"/>
        </w:rPr>
      </w:pPr>
    </w:p>
    <w:p>
      <w:pPr>
        <w:ind w:left="1640" w:right="859" w:hanging="156"/>
        <w:spacing w:after="0" w:line="301" w:lineRule="auto"/>
        <w:tabs>
          <w:tab w:leader="none" w:pos="16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w:t>
      </w:r>
    </w:p>
    <w:p>
      <w:pPr>
        <w:spacing w:after="0" w:line="45" w:lineRule="exact"/>
        <w:rPr>
          <w:rFonts w:ascii="Arial" w:cs="Arial" w:eastAsia="Arial" w:hAnsi="Arial"/>
          <w:sz w:val="15"/>
          <w:szCs w:val="15"/>
          <w:color w:val="auto"/>
        </w:rPr>
      </w:pPr>
    </w:p>
    <w:p>
      <w:pPr>
        <w:ind w:left="1640" w:right="859" w:hanging="156"/>
        <w:spacing w:after="0" w:line="301" w:lineRule="auto"/>
        <w:tabs>
          <w:tab w:leader="none" w:pos="16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to cure any ambiguity, defect or inconsistency in the senior indenture or in any supplemental indenture or to conform the senior indenture or the senior debt securities to the description of senior debt securities of such series set forth in this prospectus or any applicable prospectus supplement;</w:t>
      </w:r>
    </w:p>
    <w:p>
      <w:pPr>
        <w:spacing w:after="0" w:line="58" w:lineRule="exact"/>
        <w:rPr>
          <w:rFonts w:ascii="Arial" w:cs="Arial" w:eastAsia="Arial" w:hAnsi="Arial"/>
          <w:sz w:val="15"/>
          <w:szCs w:val="15"/>
          <w:color w:val="auto"/>
        </w:rPr>
      </w:pPr>
    </w:p>
    <w:p>
      <w:pPr>
        <w:ind w:left="1640" w:hanging="156"/>
        <w:spacing w:after="0"/>
        <w:tabs>
          <w:tab w:leader="none" w:pos="1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to provide for or add guarantors with respect to the senior debt securities of any series;</w:t>
      </w:r>
    </w:p>
    <w:p>
      <w:pPr>
        <w:spacing w:after="0" w:line="102" w:lineRule="exact"/>
        <w:rPr>
          <w:rFonts w:ascii="Arial" w:cs="Arial" w:eastAsia="Arial" w:hAnsi="Arial"/>
          <w:sz w:val="17"/>
          <w:szCs w:val="17"/>
          <w:color w:val="auto"/>
        </w:rPr>
      </w:pPr>
    </w:p>
    <w:p>
      <w:pPr>
        <w:ind w:left="1640" w:right="1319" w:hanging="156"/>
        <w:spacing w:after="0" w:line="260" w:lineRule="auto"/>
        <w:tabs>
          <w:tab w:leader="none" w:pos="1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to establish the form or forms or terms of the senior debt securities as permitted by the senior indenture;</w:t>
      </w:r>
    </w:p>
    <w:p>
      <w:pPr>
        <w:spacing w:after="0" w:line="333"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225425</wp:posOffset>
            </wp:positionV>
            <wp:extent cx="6271260"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3">
                      <a:extLst>
                        <a:ext uri="{28A0092B-C50C-407E-A947-70E740481C1C}"/>
                      </a:extLst>
                    </a:blip>
                    <a:srcRect/>
                    <a:stretch>
                      <a:fillRect/>
                    </a:stretch>
                  </pic:blipFill>
                  <pic:spPr bwMode="auto">
                    <a:xfrm>
                      <a:off x="0" y="0"/>
                      <a:ext cx="6271260" cy="41275"/>
                    </a:xfrm>
                    <a:prstGeom prst="rect">
                      <a:avLst/>
                    </a:prstGeom>
                    <a:noFill/>
                  </pic:spPr>
                </pic:pic>
              </a:graphicData>
            </a:graphic>
          </wp:anchor>
        </w:drawing>
      </w:r>
    </w:p>
    <w:p>
      <w:pPr>
        <w:sectPr>
          <w:pgSz w:w="11900" w:h="16838" w:orient="portrait"/>
          <w:cols w:equalWidth="0" w:num="1">
            <w:col w:w="9439"/>
          </w:cols>
          <w:pgMar w:left="1020" w:top="132" w:right="1440" w:bottom="1440" w:gutter="0" w:footer="0" w:header="0"/>
        </w:sectPr>
      </w:pPr>
    </w:p>
    <w:bookmarkStart w:id="14" w:name="page15"/>
    <w:bookmarkEnd w:id="14"/>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640" w:right="819" w:hanging="156"/>
        <w:spacing w:after="0" w:line="252" w:lineRule="auto"/>
        <w:tabs>
          <w:tab w:leader="none" w:pos="1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to evidence and provide for the acceptance of appointment under the senior indenture by a successor trustee, or to make such changes as shall be necessary to provide for or facilitate the administration of the trusts in the senior indenture by more than one trustee;</w:t>
      </w:r>
    </w:p>
    <w:p>
      <w:pPr>
        <w:spacing w:after="0" w:line="54" w:lineRule="exact"/>
        <w:rPr>
          <w:rFonts w:ascii="Arial" w:cs="Arial" w:eastAsia="Arial" w:hAnsi="Arial"/>
          <w:sz w:val="17"/>
          <w:szCs w:val="17"/>
          <w:color w:val="auto"/>
        </w:rPr>
      </w:pPr>
    </w:p>
    <w:p>
      <w:pPr>
        <w:ind w:left="1640" w:right="819" w:hanging="156"/>
        <w:spacing w:after="0" w:line="283" w:lineRule="auto"/>
        <w:tabs>
          <w:tab w:leader="none" w:pos="16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to add to, change or eliminate any of the provisions of the senior indenture in respect of one or more series of senior debt securities, provided that any such addition, change or elimination shall</w:t>
      </w:r>
    </w:p>
    <w:p>
      <w:pPr>
        <w:ind w:left="1640" w:right="899"/>
        <w:spacing w:after="0" w:line="288" w:lineRule="auto"/>
        <w:rPr>
          <w:rFonts w:ascii="Arial" w:cs="Arial" w:eastAsia="Arial" w:hAnsi="Arial"/>
          <w:sz w:val="15"/>
          <w:szCs w:val="15"/>
          <w:color w:val="auto"/>
        </w:rPr>
      </w:pPr>
      <w:r>
        <w:rPr>
          <w:rFonts w:ascii="Arial" w:cs="Arial" w:eastAsia="Arial" w:hAnsi="Arial"/>
          <w:sz w:val="15"/>
          <w:szCs w:val="15"/>
          <w:color w:val="auto"/>
        </w:rPr>
        <w:t>(a) neither (1) apply to any senior debt security of any series created prior to the execution of such supplemental indenture and entitled to the benefit of such provision nor (2) modify the rights of the holder of any such senior debt security with respect to such provision or (b) become effective only when there is no senior debt security described in clause (a)(1) outstanding;</w:t>
      </w:r>
    </w:p>
    <w:p>
      <w:pPr>
        <w:spacing w:after="0" w:line="41" w:lineRule="exact"/>
        <w:rPr>
          <w:rFonts w:ascii="Arial" w:cs="Arial" w:eastAsia="Arial" w:hAnsi="Arial"/>
          <w:sz w:val="15"/>
          <w:szCs w:val="15"/>
          <w:color w:val="auto"/>
        </w:rPr>
      </w:pPr>
    </w:p>
    <w:p>
      <w:pPr>
        <w:ind w:left="1640" w:right="879" w:hanging="156"/>
        <w:spacing w:after="0" w:line="260" w:lineRule="auto"/>
        <w:tabs>
          <w:tab w:leader="none" w:pos="1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to make any change to the senior debt securities of any series so long as no senior debt securities of such series are outstanding; or</w:t>
      </w:r>
    </w:p>
    <w:p>
      <w:pPr>
        <w:spacing w:after="0" w:line="60" w:lineRule="exact"/>
        <w:rPr>
          <w:rFonts w:ascii="Arial" w:cs="Arial" w:eastAsia="Arial" w:hAnsi="Arial"/>
          <w:sz w:val="17"/>
          <w:szCs w:val="17"/>
          <w:color w:val="auto"/>
        </w:rPr>
      </w:pPr>
    </w:p>
    <w:p>
      <w:pPr>
        <w:ind w:left="1640" w:hanging="156"/>
        <w:spacing w:after="0"/>
        <w:tabs>
          <w:tab w:leader="none" w:pos="16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to make any change that does not adversely affect the rights of any holder in any material respect.</w:t>
      </w:r>
    </w:p>
    <w:p>
      <w:pPr>
        <w:spacing w:after="0" w:line="150" w:lineRule="exact"/>
        <w:rPr>
          <w:sz w:val="20"/>
          <w:szCs w:val="20"/>
          <w:color w:val="auto"/>
        </w:rPr>
      </w:pPr>
    </w:p>
    <w:p>
      <w:pPr>
        <w:ind w:left="1160" w:right="759" w:firstLine="331"/>
        <w:spacing w:after="0" w:line="233" w:lineRule="auto"/>
        <w:rPr>
          <w:sz w:val="20"/>
          <w:szCs w:val="20"/>
          <w:color w:val="auto"/>
        </w:rPr>
      </w:pPr>
      <w:r>
        <w:rPr>
          <w:rFonts w:ascii="Arial" w:cs="Arial" w:eastAsia="Arial" w:hAnsi="Arial"/>
          <w:sz w:val="17"/>
          <w:szCs w:val="17"/>
          <w:color w:val="auto"/>
        </w:rPr>
        <w:t>Other amendments and modifications of the senior indenture or the senior debt securities issued may be made, and our compliance with any provision of the senior indenture with respect to any series of senior debt securities may be waived, with the consent of the holders of a majority of the aggregate principal amount of the outstanding senior debt securities of each series affected by the amendment or modification (voting as separate series); provided, however, that each affected holder must consent to any modification, amendment or waiver that:</w:t>
      </w:r>
    </w:p>
    <w:p>
      <w:pPr>
        <w:spacing w:after="0" w:line="77" w:lineRule="exact"/>
        <w:rPr>
          <w:sz w:val="20"/>
          <w:szCs w:val="20"/>
          <w:color w:val="auto"/>
        </w:rPr>
      </w:pPr>
    </w:p>
    <w:p>
      <w:pPr>
        <w:ind w:left="1640" w:hanging="156"/>
        <w:spacing w:after="0"/>
        <w:tabs>
          <w:tab w:leader="none" w:pos="1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extends the final maturity of any senior debt securities of such series;</w:t>
      </w:r>
    </w:p>
    <w:p>
      <w:pPr>
        <w:spacing w:after="0" w:line="89" w:lineRule="exact"/>
        <w:rPr>
          <w:rFonts w:ascii="Arial" w:cs="Arial" w:eastAsia="Arial" w:hAnsi="Arial"/>
          <w:sz w:val="17"/>
          <w:szCs w:val="17"/>
          <w:color w:val="auto"/>
        </w:rPr>
      </w:pPr>
    </w:p>
    <w:p>
      <w:pPr>
        <w:ind w:left="1640" w:hanging="156"/>
        <w:spacing w:after="0"/>
        <w:tabs>
          <w:tab w:leader="none" w:pos="1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reduces the principal amount of any senior debt securities of such series;</w:t>
      </w:r>
    </w:p>
    <w:p>
      <w:pPr>
        <w:spacing w:after="0" w:line="77" w:lineRule="exact"/>
        <w:rPr>
          <w:rFonts w:ascii="Arial" w:cs="Arial" w:eastAsia="Arial" w:hAnsi="Arial"/>
          <w:sz w:val="17"/>
          <w:szCs w:val="17"/>
          <w:color w:val="auto"/>
        </w:rPr>
      </w:pPr>
    </w:p>
    <w:p>
      <w:pPr>
        <w:ind w:left="1640" w:right="1039" w:hanging="156"/>
        <w:spacing w:after="0" w:line="260" w:lineRule="auto"/>
        <w:tabs>
          <w:tab w:leader="none" w:pos="1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reduces the rate, or extends the time for payment of, interest on any senior debt securities of such series;</w:t>
      </w:r>
    </w:p>
    <w:p>
      <w:pPr>
        <w:spacing w:after="0" w:line="60" w:lineRule="exact"/>
        <w:rPr>
          <w:rFonts w:ascii="Arial" w:cs="Arial" w:eastAsia="Arial" w:hAnsi="Arial"/>
          <w:sz w:val="17"/>
          <w:szCs w:val="17"/>
          <w:color w:val="auto"/>
        </w:rPr>
      </w:pPr>
    </w:p>
    <w:p>
      <w:pPr>
        <w:ind w:left="1640" w:hanging="156"/>
        <w:spacing w:after="0"/>
        <w:tabs>
          <w:tab w:leader="none" w:pos="16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reduces the amount payable upon the redemption of any senior debt securities of such series;</w:t>
      </w:r>
    </w:p>
    <w:p>
      <w:pPr>
        <w:spacing w:after="0" w:line="112" w:lineRule="exact"/>
        <w:rPr>
          <w:rFonts w:ascii="Arial" w:cs="Arial" w:eastAsia="Arial" w:hAnsi="Arial"/>
          <w:sz w:val="15"/>
          <w:szCs w:val="15"/>
          <w:color w:val="auto"/>
        </w:rPr>
      </w:pPr>
    </w:p>
    <w:p>
      <w:pPr>
        <w:ind w:left="1640" w:right="1139" w:hanging="156"/>
        <w:spacing w:after="0" w:line="260" w:lineRule="auto"/>
        <w:tabs>
          <w:tab w:leader="none" w:pos="1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the currency of payment of principal of or interest on any senior debt securities of such series;</w:t>
      </w:r>
    </w:p>
    <w:p>
      <w:pPr>
        <w:spacing w:after="0" w:line="47" w:lineRule="exact"/>
        <w:rPr>
          <w:rFonts w:ascii="Arial" w:cs="Arial" w:eastAsia="Arial" w:hAnsi="Arial"/>
          <w:sz w:val="17"/>
          <w:szCs w:val="17"/>
          <w:color w:val="auto"/>
        </w:rPr>
      </w:pPr>
    </w:p>
    <w:p>
      <w:pPr>
        <w:ind w:left="1640" w:right="1239" w:hanging="156"/>
        <w:spacing w:after="0" w:line="260" w:lineRule="auto"/>
        <w:tabs>
          <w:tab w:leader="none" w:pos="1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reduces the principal amount of original issue discount securities payable upon acceleration of maturity or the amount provable in bankruptcy;</w:t>
      </w:r>
    </w:p>
    <w:p>
      <w:pPr>
        <w:spacing w:after="0" w:line="60" w:lineRule="exact"/>
        <w:rPr>
          <w:rFonts w:ascii="Arial" w:cs="Arial" w:eastAsia="Arial" w:hAnsi="Arial"/>
          <w:sz w:val="17"/>
          <w:szCs w:val="17"/>
          <w:color w:val="auto"/>
        </w:rPr>
      </w:pPr>
    </w:p>
    <w:p>
      <w:pPr>
        <w:ind w:left="1640" w:right="1039" w:hanging="156"/>
        <w:spacing w:after="0" w:line="252" w:lineRule="auto"/>
        <w:tabs>
          <w:tab w:leader="none" w:pos="1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waives a continuing default in the payment of principal of or interest on the senior debt securities (other than any such default in payment resulting solely from an acceleration of the senior debt securities);</w:t>
      </w:r>
    </w:p>
    <w:p>
      <w:pPr>
        <w:spacing w:after="0" w:line="66" w:lineRule="exact"/>
        <w:rPr>
          <w:rFonts w:ascii="Arial" w:cs="Arial" w:eastAsia="Arial" w:hAnsi="Arial"/>
          <w:sz w:val="17"/>
          <w:szCs w:val="17"/>
          <w:color w:val="auto"/>
        </w:rPr>
      </w:pPr>
    </w:p>
    <w:p>
      <w:pPr>
        <w:ind w:left="1640" w:right="919" w:hanging="156"/>
        <w:spacing w:after="0" w:line="252" w:lineRule="auto"/>
        <w:tabs>
          <w:tab w:leader="none" w:pos="1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the provisions relating to the waiver of past defaults or impairs the right of holders to receive payment or to institute suit for the enforcement of any payment or conversion of any senior debt securities of such series on or after the due date therefor;</w:t>
      </w:r>
    </w:p>
    <w:p>
      <w:pPr>
        <w:spacing w:after="0" w:line="54" w:lineRule="exact"/>
        <w:rPr>
          <w:rFonts w:ascii="Arial" w:cs="Arial" w:eastAsia="Arial" w:hAnsi="Arial"/>
          <w:sz w:val="17"/>
          <w:szCs w:val="17"/>
          <w:color w:val="auto"/>
        </w:rPr>
      </w:pPr>
    </w:p>
    <w:p>
      <w:pPr>
        <w:ind w:left="1640" w:right="939" w:hanging="156"/>
        <w:spacing w:after="0" w:line="249" w:lineRule="auto"/>
        <w:tabs>
          <w:tab w:leader="none" w:pos="1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modifies any of the provisions of these restrictions on amendments and modifications, except to increase any required percentage or to provide that certain other provisions cannot be modified or waived without the consent of the holder of each senior debt security of such series affected by the modification;</w:t>
      </w:r>
    </w:p>
    <w:p>
      <w:pPr>
        <w:spacing w:after="0" w:line="69" w:lineRule="exact"/>
        <w:rPr>
          <w:rFonts w:ascii="Arial" w:cs="Arial" w:eastAsia="Arial" w:hAnsi="Arial"/>
          <w:sz w:val="17"/>
          <w:szCs w:val="17"/>
          <w:color w:val="auto"/>
        </w:rPr>
      </w:pPr>
    </w:p>
    <w:p>
      <w:pPr>
        <w:ind w:left="1640" w:right="1039" w:hanging="156"/>
        <w:spacing w:after="0" w:line="327" w:lineRule="auto"/>
        <w:tabs>
          <w:tab w:leader="none" w:pos="16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adversely affects the right to convert or exchange senior debt securities into common stock, other securities or property in accordance with the terms of the senior debt securities; or</w:t>
      </w:r>
    </w:p>
    <w:p>
      <w:pPr>
        <w:spacing w:after="0" w:line="13" w:lineRule="exact"/>
        <w:rPr>
          <w:rFonts w:ascii="Arial" w:cs="Arial" w:eastAsia="Arial" w:hAnsi="Arial"/>
          <w:sz w:val="15"/>
          <w:szCs w:val="15"/>
          <w:color w:val="auto"/>
        </w:rPr>
      </w:pPr>
    </w:p>
    <w:p>
      <w:pPr>
        <w:ind w:left="1640" w:right="779" w:hanging="156"/>
        <w:spacing w:after="0" w:line="252" w:lineRule="auto"/>
        <w:tabs>
          <w:tab w:leader="none" w:pos="1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reduces the above-stated percentage of outstanding senior debt securities of such series whose holders must consent to a supplemental indenture or modifies or amends or waives certain provisions of or defaults under the senior indenture.</w:t>
      </w:r>
    </w:p>
    <w:p>
      <w:pPr>
        <w:spacing w:after="0" w:line="104" w:lineRule="exact"/>
        <w:rPr>
          <w:sz w:val="20"/>
          <w:szCs w:val="20"/>
          <w:color w:val="auto"/>
        </w:rPr>
      </w:pPr>
    </w:p>
    <w:p>
      <w:pPr>
        <w:ind w:left="1160" w:right="819" w:firstLine="331"/>
        <w:spacing w:after="0" w:line="232" w:lineRule="auto"/>
        <w:rPr>
          <w:sz w:val="20"/>
          <w:szCs w:val="20"/>
          <w:color w:val="auto"/>
        </w:rPr>
      </w:pPr>
      <w:r>
        <w:rPr>
          <w:rFonts w:ascii="Arial" w:cs="Arial" w:eastAsia="Arial" w:hAnsi="Arial"/>
          <w:sz w:val="17"/>
          <w:szCs w:val="17"/>
          <w:color w:val="auto"/>
        </w:rPr>
        <w:t>It shall not be necessary for the holders to approve the particular form of any proposed amendment, supplement or waiver, but it shall be sufficient if the holders’ consent approves the substance thereof. After an amendment, supplement or waiver of the senior indenture in accordance with the provisions described in this section becomes effective, the trustee must give to the holders affected thereby certain notice briefly describing the amendment, supplement or waiver. Any failure by the trustee to give such notice, or any defect therein, shall not, however, in any way impair or affect the validity of any such amendment, supplemental indenture or waiver.</w:t>
      </w:r>
    </w:p>
    <w:p>
      <w:pPr>
        <w:spacing w:after="0" w:line="352"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225425</wp:posOffset>
            </wp:positionV>
            <wp:extent cx="6271260"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extLst>
                    </a:blip>
                    <a:srcRect/>
                    <a:stretch>
                      <a:fillRect/>
                    </a:stretch>
                  </pic:blipFill>
                  <pic:spPr bwMode="auto">
                    <a:xfrm>
                      <a:off x="0" y="0"/>
                      <a:ext cx="6271260" cy="41275"/>
                    </a:xfrm>
                    <a:prstGeom prst="rect">
                      <a:avLst/>
                    </a:prstGeom>
                    <a:noFill/>
                  </pic:spPr>
                </pic:pic>
              </a:graphicData>
            </a:graphic>
          </wp:anchor>
        </w:drawing>
      </w:r>
    </w:p>
    <w:p>
      <w:pPr>
        <w:sectPr>
          <w:pgSz w:w="11900" w:h="16838" w:orient="portrait"/>
          <w:cols w:equalWidth="0" w:num="1">
            <w:col w:w="9439"/>
          </w:cols>
          <w:pgMar w:left="1020" w:top="132" w:right="1440" w:bottom="1440" w:gutter="0" w:footer="0" w:header="0"/>
        </w:sectPr>
      </w:pPr>
    </w:p>
    <w:bookmarkStart w:id="15" w:name="page16"/>
    <w:bookmarkEnd w:id="15"/>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60"/>
        <w:spacing w:after="0"/>
        <w:rPr>
          <w:sz w:val="20"/>
          <w:szCs w:val="20"/>
          <w:color w:val="auto"/>
        </w:rPr>
      </w:pPr>
      <w:r>
        <w:rPr>
          <w:rFonts w:ascii="Arial" w:cs="Arial" w:eastAsia="Arial" w:hAnsi="Arial"/>
          <w:sz w:val="17"/>
          <w:szCs w:val="17"/>
          <w:i w:val="1"/>
          <w:iCs w:val="1"/>
          <w:color w:val="auto"/>
        </w:rPr>
        <w:t xml:space="preserve">Notice of Redemption. </w:t>
      </w:r>
      <w:r>
        <w:rPr>
          <w:rFonts w:ascii="Arial" w:cs="Arial" w:eastAsia="Arial" w:hAnsi="Arial"/>
          <w:sz w:val="17"/>
          <w:szCs w:val="17"/>
          <w:color w:val="auto"/>
        </w:rPr>
        <w:t>Notice of any redemption of senior debt securities will be mailed at least</w:t>
      </w:r>
    </w:p>
    <w:p>
      <w:pPr>
        <w:spacing w:after="0" w:line="5" w:lineRule="exact"/>
        <w:rPr>
          <w:sz w:val="20"/>
          <w:szCs w:val="20"/>
          <w:color w:val="auto"/>
        </w:rPr>
      </w:pPr>
    </w:p>
    <w:p>
      <w:pPr>
        <w:ind w:left="1160" w:right="819"/>
        <w:spacing w:after="0" w:line="263" w:lineRule="auto"/>
        <w:rPr>
          <w:sz w:val="20"/>
          <w:szCs w:val="20"/>
          <w:color w:val="auto"/>
        </w:rPr>
      </w:pPr>
      <w:r>
        <w:rPr>
          <w:rFonts w:ascii="Arial" w:cs="Arial" w:eastAsia="Arial" w:hAnsi="Arial"/>
          <w:sz w:val="15"/>
          <w:szCs w:val="15"/>
          <w:color w:val="auto"/>
        </w:rPr>
        <w:t>10 days but not more than 60 days before the redemption date to each holder of senior debt securities of a series to be redeemed. Any notice may, at our discretion, be subject to the satisfaction or waiver of one or more conditions precedent. In that case, such notice shall state the nature of such condition precedent. If we elect to redeem a portion but not all of such senior debt securities, the trustee will select the senior debt securities to be redeemed in a method determined manner that complies with applicable legal and stock exchange requirements, if any. Interest on such debt securities or portions of senior debt securities will cease to accrue on and after the date fixed for redemption, unless we default in the payment of such redemption price and accrued interest with respect to any such senior debt security or portion thereof.</w:t>
      </w:r>
    </w:p>
    <w:p>
      <w:pPr>
        <w:spacing w:after="0" w:line="86" w:lineRule="exact"/>
        <w:rPr>
          <w:sz w:val="20"/>
          <w:szCs w:val="20"/>
          <w:color w:val="auto"/>
        </w:rPr>
      </w:pPr>
    </w:p>
    <w:p>
      <w:pPr>
        <w:ind w:left="1160" w:right="859" w:firstLine="331"/>
        <w:spacing w:after="0" w:line="284" w:lineRule="auto"/>
        <w:rPr>
          <w:sz w:val="20"/>
          <w:szCs w:val="20"/>
          <w:color w:val="auto"/>
        </w:rPr>
      </w:pPr>
      <w:r>
        <w:rPr>
          <w:rFonts w:ascii="Arial" w:cs="Arial" w:eastAsia="Arial" w:hAnsi="Arial"/>
          <w:sz w:val="15"/>
          <w:szCs w:val="15"/>
          <w:color w:val="auto"/>
        </w:rPr>
        <w:t>If any date of redemption of any senior debt security is not a business day, then payment of principal and interest may be made on the next succeeding business day with the same force and effect as if made on the nominal date of redemption and no interest will accrue for the period after such nominal date.</w:t>
      </w:r>
    </w:p>
    <w:p>
      <w:pPr>
        <w:spacing w:after="0" w:line="82" w:lineRule="exact"/>
        <w:rPr>
          <w:sz w:val="20"/>
          <w:szCs w:val="20"/>
          <w:color w:val="auto"/>
        </w:rPr>
      </w:pPr>
    </w:p>
    <w:p>
      <w:pPr>
        <w:ind w:left="1160" w:right="799" w:firstLine="331"/>
        <w:spacing w:after="0" w:line="231" w:lineRule="auto"/>
        <w:rPr>
          <w:sz w:val="20"/>
          <w:szCs w:val="20"/>
          <w:color w:val="auto"/>
        </w:rPr>
      </w:pPr>
      <w:r>
        <w:rPr>
          <w:rFonts w:ascii="Arial" w:cs="Arial" w:eastAsia="Arial" w:hAnsi="Arial"/>
          <w:sz w:val="17"/>
          <w:szCs w:val="17"/>
          <w:i w:val="1"/>
          <w:iCs w:val="1"/>
          <w:color w:val="auto"/>
        </w:rPr>
        <w:t xml:space="preserve">Conversion Rights. </w:t>
      </w:r>
      <w:r>
        <w:rPr>
          <w:rFonts w:ascii="Arial" w:cs="Arial" w:eastAsia="Arial" w:hAnsi="Arial"/>
          <w:sz w:val="17"/>
          <w:szCs w:val="17"/>
          <w:color w:val="auto"/>
        </w:rPr>
        <w:t>We will describe the terms upon which senior debt securities may be convertible</w:t>
      </w:r>
      <w:r>
        <w:rPr>
          <w:rFonts w:ascii="Arial" w:cs="Arial" w:eastAsia="Arial" w:hAnsi="Arial"/>
          <w:sz w:val="17"/>
          <w:szCs w:val="17"/>
          <w:i w:val="1"/>
          <w:iCs w:val="1"/>
          <w:color w:val="auto"/>
        </w:rPr>
        <w:t xml:space="preserve"> </w:t>
      </w:r>
      <w:r>
        <w:rPr>
          <w:rFonts w:ascii="Arial" w:cs="Arial" w:eastAsia="Arial" w:hAnsi="Arial"/>
          <w:sz w:val="17"/>
          <w:szCs w:val="17"/>
          <w:color w:val="auto"/>
        </w:rPr>
        <w:t>into our common stock or other securities in a prospectus supplement. These terms will include the type of securities the senior debt securities are convertible into, the conversion price or manner of calculation thereof, the conversion period, provisions as to whether conversion will be at our option or the option of the holders, the events requiring an adjustment of the conversion price and provisions affecting conversion in the event of the redemption of the senior debt securities and any restrictions on conversion. They may also include provisions adjusting the number of shares of our common stock or other securities issuable upon conversion.</w:t>
      </w:r>
    </w:p>
    <w:p>
      <w:pPr>
        <w:spacing w:after="0" w:line="120" w:lineRule="exact"/>
        <w:rPr>
          <w:sz w:val="20"/>
          <w:szCs w:val="20"/>
          <w:color w:val="auto"/>
        </w:rPr>
      </w:pPr>
    </w:p>
    <w:p>
      <w:pPr>
        <w:ind w:left="1160" w:right="799" w:firstLine="331"/>
        <w:spacing w:after="0" w:line="267" w:lineRule="auto"/>
        <w:rPr>
          <w:sz w:val="20"/>
          <w:szCs w:val="20"/>
          <w:color w:val="auto"/>
        </w:rPr>
      </w:pPr>
      <w:r>
        <w:rPr>
          <w:rFonts w:ascii="Arial" w:cs="Arial" w:eastAsia="Arial" w:hAnsi="Arial"/>
          <w:sz w:val="15"/>
          <w:szCs w:val="15"/>
          <w:i w:val="1"/>
          <w:iCs w:val="1"/>
          <w:color w:val="auto"/>
        </w:rPr>
        <w:t xml:space="preserve">No Personal Liability of Incorporators, Stockholders, Officers or Directors. </w:t>
      </w:r>
      <w:r>
        <w:rPr>
          <w:rFonts w:ascii="Arial" w:cs="Arial" w:eastAsia="Arial" w:hAnsi="Arial"/>
          <w:sz w:val="15"/>
          <w:szCs w:val="15"/>
          <w:color w:val="auto"/>
        </w:rPr>
        <w:t>The senior indenture</w:t>
      </w:r>
      <w:r>
        <w:rPr>
          <w:rFonts w:ascii="Arial" w:cs="Arial" w:eastAsia="Arial" w:hAnsi="Arial"/>
          <w:sz w:val="15"/>
          <w:szCs w:val="15"/>
          <w:i w:val="1"/>
          <w:iCs w:val="1"/>
          <w:color w:val="auto"/>
        </w:rPr>
        <w:t xml:space="preserve"> </w:t>
      </w:r>
      <w:r>
        <w:rPr>
          <w:rFonts w:ascii="Arial" w:cs="Arial" w:eastAsia="Arial" w:hAnsi="Arial"/>
          <w:sz w:val="15"/>
          <w:szCs w:val="15"/>
          <w:color w:val="auto"/>
        </w:rPr>
        <w:t>provides that no recourse shall be had under any obligation, covenant or agreement of ours in the senior indenture or any supplemental indenture, or in any of the senior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83" w:lineRule="exact"/>
        <w:rPr>
          <w:sz w:val="20"/>
          <w:szCs w:val="20"/>
          <w:color w:val="auto"/>
        </w:rPr>
      </w:pPr>
    </w:p>
    <w:p>
      <w:pPr>
        <w:ind w:left="1160" w:right="759" w:firstLine="331"/>
        <w:spacing w:after="0" w:line="233" w:lineRule="auto"/>
        <w:rPr>
          <w:sz w:val="20"/>
          <w:szCs w:val="20"/>
          <w:color w:val="auto"/>
        </w:rPr>
      </w:pPr>
      <w:r>
        <w:rPr>
          <w:rFonts w:ascii="Arial" w:cs="Arial" w:eastAsia="Arial" w:hAnsi="Arial"/>
          <w:sz w:val="17"/>
          <w:szCs w:val="17"/>
          <w:i w:val="1"/>
          <w:iCs w:val="1"/>
          <w:color w:val="auto"/>
        </w:rPr>
        <w:t xml:space="preserve">Concerning the Trustee. </w:t>
      </w:r>
      <w:r>
        <w:rPr>
          <w:rFonts w:ascii="Arial" w:cs="Arial" w:eastAsia="Arial" w:hAnsi="Arial"/>
          <w:sz w:val="17"/>
          <w:szCs w:val="17"/>
          <w:color w:val="auto"/>
        </w:rPr>
        <w:t>The senior indenture provides that, except during the continuance of an event</w:t>
      </w:r>
      <w:r>
        <w:rPr>
          <w:rFonts w:ascii="Arial" w:cs="Arial" w:eastAsia="Arial" w:hAnsi="Arial"/>
          <w:sz w:val="17"/>
          <w:szCs w:val="17"/>
          <w:i w:val="1"/>
          <w:iCs w:val="1"/>
          <w:color w:val="auto"/>
        </w:rPr>
        <w:t xml:space="preserve"> </w:t>
      </w:r>
      <w:r>
        <w:rPr>
          <w:rFonts w:ascii="Arial" w:cs="Arial" w:eastAsia="Arial" w:hAnsi="Arial"/>
          <w:sz w:val="17"/>
          <w:szCs w:val="17"/>
          <w:color w:val="auto"/>
        </w:rPr>
        <w:t>of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114" w:lineRule="exact"/>
        <w:rPr>
          <w:sz w:val="20"/>
          <w:szCs w:val="20"/>
          <w:color w:val="auto"/>
        </w:rPr>
      </w:pPr>
    </w:p>
    <w:p>
      <w:pPr>
        <w:ind w:left="1160" w:right="779" w:firstLine="331"/>
        <w:spacing w:after="0" w:line="233" w:lineRule="auto"/>
        <w:rPr>
          <w:sz w:val="20"/>
          <w:szCs w:val="20"/>
          <w:color w:val="auto"/>
        </w:rPr>
      </w:pPr>
      <w:r>
        <w:rPr>
          <w:rFonts w:ascii="Arial" w:cs="Arial" w:eastAsia="Arial" w:hAnsi="Arial"/>
          <w:sz w:val="17"/>
          <w:szCs w:val="17"/>
          <w:color w:val="auto"/>
        </w:rPr>
        <w:t>The senior indenture and the provisions of the Trust Indenture Act incorporated by reference therein contain limitations on the rights of the trustee thereunder, should it become a creditor of ours or any of our subsidiaries, to obtain payment of claims in certain cases or to realize on certain property received by it in respect of any such claims, as security or otherwise. The trustee is permitted to engage in other transactions, provided that if it acquires any conflicting interest (as defined in the Trust Indenture Act), it must eliminate such conflict or resign.</w:t>
      </w:r>
    </w:p>
    <w:p>
      <w:pPr>
        <w:spacing w:after="0" w:line="114"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may have normal banking relationships with the senior trustee in the ordinary course of business.</w:t>
      </w:r>
    </w:p>
    <w:p>
      <w:pPr>
        <w:spacing w:after="0" w:line="150" w:lineRule="exact"/>
        <w:rPr>
          <w:sz w:val="20"/>
          <w:szCs w:val="20"/>
          <w:color w:val="auto"/>
        </w:rPr>
      </w:pPr>
    </w:p>
    <w:p>
      <w:pPr>
        <w:ind w:left="1160" w:right="899" w:firstLine="331"/>
        <w:spacing w:after="0" w:line="271" w:lineRule="auto"/>
        <w:rPr>
          <w:sz w:val="20"/>
          <w:szCs w:val="20"/>
          <w:color w:val="auto"/>
        </w:rPr>
      </w:pPr>
      <w:r>
        <w:rPr>
          <w:rFonts w:ascii="Arial" w:cs="Arial" w:eastAsia="Arial" w:hAnsi="Arial"/>
          <w:sz w:val="15"/>
          <w:szCs w:val="15"/>
          <w:i w:val="1"/>
          <w:iCs w:val="1"/>
          <w:color w:val="auto"/>
        </w:rPr>
        <w:t xml:space="preserve">Unclaimed Funds. </w:t>
      </w:r>
      <w:r>
        <w:rPr>
          <w:rFonts w:ascii="Arial" w:cs="Arial" w:eastAsia="Arial" w:hAnsi="Arial"/>
          <w:sz w:val="15"/>
          <w:szCs w:val="15"/>
          <w:color w:val="auto"/>
        </w:rPr>
        <w:t>All funds deposited with the trustee or any paying agent for the payment of</w:t>
      </w:r>
      <w:r>
        <w:rPr>
          <w:rFonts w:ascii="Arial" w:cs="Arial" w:eastAsia="Arial" w:hAnsi="Arial"/>
          <w:sz w:val="15"/>
          <w:szCs w:val="15"/>
          <w:i w:val="1"/>
          <w:iCs w:val="1"/>
          <w:color w:val="auto"/>
        </w:rPr>
        <w:t xml:space="preserve"> </w:t>
      </w:r>
      <w:r>
        <w:rPr>
          <w:rFonts w:ascii="Arial" w:cs="Arial" w:eastAsia="Arial" w:hAnsi="Arial"/>
          <w:sz w:val="15"/>
          <w:szCs w:val="15"/>
          <w:color w:val="auto"/>
        </w:rPr>
        <w:t>principal, premium, interest or additional amounts in respect of the senior debt securities that remain unclaimed for two years after the date upon which such amounts became due and payable will be repaid to us. Thereafter, any right of any holder of senior debt securities to such funds shall be enforceable only against us, and the trustee and paying agents will have no liability therefor.</w:t>
      </w:r>
    </w:p>
    <w:p>
      <w:pPr>
        <w:spacing w:after="0" w:line="93" w:lineRule="exact"/>
        <w:rPr>
          <w:sz w:val="20"/>
          <w:szCs w:val="20"/>
          <w:color w:val="auto"/>
        </w:rPr>
      </w:pPr>
    </w:p>
    <w:p>
      <w:pPr>
        <w:ind w:left="1160" w:right="839" w:firstLine="331"/>
        <w:spacing w:after="0" w:line="245" w:lineRule="auto"/>
        <w:rPr>
          <w:sz w:val="20"/>
          <w:szCs w:val="20"/>
          <w:color w:val="auto"/>
        </w:rPr>
      </w:pPr>
      <w:r>
        <w:rPr>
          <w:rFonts w:ascii="Arial" w:cs="Arial" w:eastAsia="Arial" w:hAnsi="Arial"/>
          <w:sz w:val="17"/>
          <w:szCs w:val="17"/>
          <w:i w:val="1"/>
          <w:iCs w:val="1"/>
          <w:color w:val="auto"/>
        </w:rPr>
        <w:t xml:space="preserve">Governing Law. </w:t>
      </w:r>
      <w:r>
        <w:rPr>
          <w:rFonts w:ascii="Arial" w:cs="Arial" w:eastAsia="Arial" w:hAnsi="Arial"/>
          <w:sz w:val="17"/>
          <w:szCs w:val="17"/>
          <w:color w:val="auto"/>
        </w:rPr>
        <w:t>The senior indenture and the senior debt securities will be governed by, and construed</w:t>
      </w:r>
      <w:r>
        <w:rPr>
          <w:rFonts w:ascii="Arial" w:cs="Arial" w:eastAsia="Arial" w:hAnsi="Arial"/>
          <w:sz w:val="17"/>
          <w:szCs w:val="17"/>
          <w:i w:val="1"/>
          <w:iCs w:val="1"/>
          <w:color w:val="auto"/>
        </w:rPr>
        <w:t xml:space="preserve"> </w:t>
      </w:r>
      <w:r>
        <w:rPr>
          <w:rFonts w:ascii="Arial" w:cs="Arial" w:eastAsia="Arial" w:hAnsi="Arial"/>
          <w:sz w:val="17"/>
          <w:szCs w:val="17"/>
          <w:color w:val="auto"/>
        </w:rPr>
        <w:t>in accordance with, the internal laws of the State of New York.</w:t>
      </w:r>
    </w:p>
    <w:p>
      <w:pPr>
        <w:spacing w:after="0" w:line="167"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Certain Terms of the Subordinated Debt Securities</w:t>
      </w:r>
    </w:p>
    <w:p>
      <w:pPr>
        <w:spacing w:after="0" w:line="143" w:lineRule="exact"/>
        <w:rPr>
          <w:sz w:val="20"/>
          <w:szCs w:val="20"/>
          <w:color w:val="auto"/>
        </w:rPr>
      </w:pPr>
    </w:p>
    <w:p>
      <w:pPr>
        <w:ind w:left="1160" w:right="1259" w:firstLine="331"/>
        <w:spacing w:after="0" w:line="310" w:lineRule="auto"/>
        <w:rPr>
          <w:sz w:val="20"/>
          <w:szCs w:val="20"/>
          <w:color w:val="auto"/>
        </w:rPr>
      </w:pPr>
      <w:r>
        <w:rPr>
          <w:rFonts w:ascii="Arial" w:cs="Arial" w:eastAsia="Arial" w:hAnsi="Arial"/>
          <w:sz w:val="15"/>
          <w:szCs w:val="15"/>
          <w:color w:val="auto"/>
        </w:rPr>
        <w:t>Other than the terms of the subordinated indenture and subordinated debt securities relating to subordination or otherwise as described in the prospectus supplement relating to a particular series of</w:t>
      </w:r>
    </w:p>
    <w:p>
      <w:pPr>
        <w:spacing w:after="0" w:line="286"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225425</wp:posOffset>
            </wp:positionV>
            <wp:extent cx="6271260"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a:extLst>
                        <a:ext uri="{28A0092B-C50C-407E-A947-70E740481C1C}"/>
                      </a:extLst>
                    </a:blip>
                    <a:srcRect/>
                    <a:stretch>
                      <a:fillRect/>
                    </a:stretch>
                  </pic:blipFill>
                  <pic:spPr bwMode="auto">
                    <a:xfrm>
                      <a:off x="0" y="0"/>
                      <a:ext cx="6271260" cy="41275"/>
                    </a:xfrm>
                    <a:prstGeom prst="rect">
                      <a:avLst/>
                    </a:prstGeom>
                    <a:noFill/>
                  </pic:spPr>
                </pic:pic>
              </a:graphicData>
            </a:graphic>
          </wp:anchor>
        </w:drawing>
      </w:r>
    </w:p>
    <w:p>
      <w:pPr>
        <w:sectPr>
          <w:pgSz w:w="11900" w:h="16838" w:orient="portrait"/>
          <w:cols w:equalWidth="0" w:num="1">
            <w:col w:w="9439"/>
          </w:cols>
          <w:pgMar w:left="1020" w:top="131" w:right="1440" w:bottom="1440" w:gutter="0" w:footer="0" w:header="0"/>
        </w:sectPr>
      </w:pPr>
    </w:p>
    <w:bookmarkStart w:id="16" w:name="page17"/>
    <w:bookmarkEnd w:id="16"/>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160" w:right="999"/>
        <w:spacing w:after="0" w:line="327" w:lineRule="auto"/>
        <w:rPr>
          <w:sz w:val="20"/>
          <w:szCs w:val="20"/>
          <w:color w:val="auto"/>
        </w:rPr>
      </w:pPr>
      <w:r>
        <w:rPr>
          <w:rFonts w:ascii="Arial" w:cs="Arial" w:eastAsia="Arial" w:hAnsi="Arial"/>
          <w:sz w:val="15"/>
          <w:szCs w:val="15"/>
          <w:color w:val="auto"/>
        </w:rPr>
        <w:t>subordinated debt securities, the terms of the subordinated indenture and subordinated debt securities are identical in all material respects to the terms of the senior indenture and senior debt securities.</w:t>
      </w:r>
    </w:p>
    <w:p>
      <w:pPr>
        <w:spacing w:after="0" w:line="51" w:lineRule="exact"/>
        <w:rPr>
          <w:sz w:val="20"/>
          <w:szCs w:val="20"/>
          <w:color w:val="auto"/>
        </w:rPr>
      </w:pPr>
    </w:p>
    <w:p>
      <w:pPr>
        <w:ind w:left="1160" w:right="739" w:firstLine="331"/>
        <w:spacing w:after="0" w:line="260" w:lineRule="auto"/>
        <w:rPr>
          <w:sz w:val="20"/>
          <w:szCs w:val="20"/>
          <w:color w:val="auto"/>
        </w:rPr>
      </w:pPr>
      <w:r>
        <w:rPr>
          <w:rFonts w:ascii="Arial" w:cs="Arial" w:eastAsia="Arial" w:hAnsi="Arial"/>
          <w:sz w:val="17"/>
          <w:szCs w:val="17"/>
          <w:color w:val="auto"/>
        </w:rPr>
        <w:t>Additional or different subordination terms may be specified in the prospectus supplement applicable to a particular series.</w:t>
      </w:r>
    </w:p>
    <w:p>
      <w:pPr>
        <w:spacing w:after="0" w:line="110" w:lineRule="exact"/>
        <w:rPr>
          <w:sz w:val="20"/>
          <w:szCs w:val="20"/>
          <w:color w:val="auto"/>
        </w:rPr>
      </w:pPr>
    </w:p>
    <w:p>
      <w:pPr>
        <w:ind w:left="1160" w:right="859" w:firstLine="331"/>
        <w:spacing w:after="0" w:line="281" w:lineRule="auto"/>
        <w:rPr>
          <w:sz w:val="20"/>
          <w:szCs w:val="20"/>
          <w:color w:val="auto"/>
        </w:rPr>
      </w:pPr>
      <w:r>
        <w:rPr>
          <w:rFonts w:ascii="Arial" w:cs="Arial" w:eastAsia="Arial" w:hAnsi="Arial"/>
          <w:sz w:val="15"/>
          <w:szCs w:val="15"/>
          <w:i w:val="1"/>
          <w:iCs w:val="1"/>
          <w:color w:val="auto"/>
        </w:rPr>
        <w:t xml:space="preserve">Subordination. </w:t>
      </w:r>
      <w:r>
        <w:rPr>
          <w:rFonts w:ascii="Arial" w:cs="Arial" w:eastAsia="Arial" w:hAnsi="Arial"/>
          <w:sz w:val="15"/>
          <w:szCs w:val="15"/>
          <w:color w:val="auto"/>
        </w:rPr>
        <w:t>The indebtedness evidenced by the subordinated debt securities is subordinate to the</w:t>
      </w:r>
      <w:r>
        <w:rPr>
          <w:rFonts w:ascii="Arial" w:cs="Arial" w:eastAsia="Arial" w:hAnsi="Arial"/>
          <w:sz w:val="15"/>
          <w:szCs w:val="15"/>
          <w:i w:val="1"/>
          <w:iCs w:val="1"/>
          <w:color w:val="auto"/>
        </w:rPr>
        <w:t xml:space="preserve"> </w:t>
      </w:r>
      <w:r>
        <w:rPr>
          <w:rFonts w:ascii="Arial" w:cs="Arial" w:eastAsia="Arial" w:hAnsi="Arial"/>
          <w:sz w:val="15"/>
          <w:szCs w:val="15"/>
          <w:color w:val="auto"/>
        </w:rPr>
        <w:t>prior payment in full of all of our senior indebtedness, as defined in the subordinated indenture. During the continuance beyond any applicable grace period of any default in the payment of principal, premium, interest or any other payment due on any of our senior indebtedness, we may not make any payment of principal of or interest on the subordinated debt securities (except for certain sinking fund payments). In addition, upon any payment or distribution of our assets upon any dissolution, winding-up, liquidation or reorganization, the payment of the principal of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296" w:lineRule="exact"/>
        <w:rPr>
          <w:sz w:val="20"/>
          <w:szCs w:val="20"/>
          <w:color w:val="auto"/>
        </w:rPr>
      </w:pPr>
    </w:p>
    <w:p>
      <w:pPr>
        <w:ind w:left="1160" w:right="1379" w:firstLine="331"/>
        <w:spacing w:after="0" w:line="301" w:lineRule="auto"/>
        <w:rPr>
          <w:sz w:val="20"/>
          <w:szCs w:val="20"/>
          <w:color w:val="auto"/>
        </w:rPr>
      </w:pPr>
      <w:r>
        <w:rPr>
          <w:rFonts w:ascii="Arial" w:cs="Arial" w:eastAsia="Arial" w:hAnsi="Arial"/>
          <w:sz w:val="15"/>
          <w:szCs w:val="15"/>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46" w:lineRule="exact"/>
        <w:rPr>
          <w:sz w:val="20"/>
          <w:szCs w:val="20"/>
          <w:color w:val="auto"/>
        </w:rPr>
      </w:pPr>
    </w:p>
    <w:p>
      <w:pPr>
        <w:ind w:left="1640" w:hanging="156"/>
        <w:spacing w:after="0"/>
        <w:tabs>
          <w:tab w:leader="none" w:pos="1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all of the indebtedness of that person for money borrowed;</w:t>
      </w:r>
    </w:p>
    <w:p>
      <w:pPr>
        <w:spacing w:after="0" w:line="102" w:lineRule="exact"/>
        <w:rPr>
          <w:rFonts w:ascii="Arial" w:cs="Arial" w:eastAsia="Arial" w:hAnsi="Arial"/>
          <w:sz w:val="17"/>
          <w:szCs w:val="17"/>
          <w:color w:val="auto"/>
        </w:rPr>
      </w:pPr>
    </w:p>
    <w:p>
      <w:pPr>
        <w:ind w:left="1640" w:right="899" w:hanging="156"/>
        <w:spacing w:after="0" w:line="260" w:lineRule="auto"/>
        <w:tabs>
          <w:tab w:leader="none" w:pos="1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all of the indebtedness of that person evidenced by notes, debentures, bonds or other securities sold by that person for money;</w:t>
      </w:r>
    </w:p>
    <w:p>
      <w:pPr>
        <w:spacing w:after="0" w:line="72" w:lineRule="exact"/>
        <w:rPr>
          <w:rFonts w:ascii="Arial" w:cs="Arial" w:eastAsia="Arial" w:hAnsi="Arial"/>
          <w:sz w:val="17"/>
          <w:szCs w:val="17"/>
          <w:color w:val="auto"/>
        </w:rPr>
      </w:pPr>
    </w:p>
    <w:p>
      <w:pPr>
        <w:ind w:left="1640" w:right="1319" w:hanging="156"/>
        <w:spacing w:after="0" w:line="260" w:lineRule="auto"/>
        <w:tabs>
          <w:tab w:leader="none" w:pos="1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all of the lease obligations that are capitalized on the books of that person in accordance with generally accepted accounting principles;</w:t>
      </w:r>
    </w:p>
    <w:p>
      <w:pPr>
        <w:spacing w:after="0" w:line="72" w:lineRule="exact"/>
        <w:rPr>
          <w:rFonts w:ascii="Arial" w:cs="Arial" w:eastAsia="Arial" w:hAnsi="Arial"/>
          <w:sz w:val="17"/>
          <w:szCs w:val="17"/>
          <w:color w:val="auto"/>
        </w:rPr>
      </w:pPr>
    </w:p>
    <w:p>
      <w:pPr>
        <w:ind w:left="1640" w:right="1119" w:hanging="156"/>
        <w:spacing w:after="0" w:line="293" w:lineRule="auto"/>
        <w:tabs>
          <w:tab w:leader="none" w:pos="16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50" w:lineRule="exact"/>
        <w:rPr>
          <w:rFonts w:ascii="Arial" w:cs="Arial" w:eastAsia="Arial" w:hAnsi="Arial"/>
          <w:sz w:val="15"/>
          <w:szCs w:val="15"/>
          <w:color w:val="auto"/>
        </w:rPr>
      </w:pPr>
    </w:p>
    <w:p>
      <w:pPr>
        <w:jc w:val="both"/>
        <w:ind w:left="1640" w:right="899" w:hanging="156"/>
        <w:spacing w:after="0" w:line="252" w:lineRule="auto"/>
        <w:tabs>
          <w:tab w:leader="none" w:pos="1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04" w:lineRule="exact"/>
        <w:rPr>
          <w:sz w:val="20"/>
          <w:szCs w:val="20"/>
          <w:color w:val="auto"/>
        </w:rPr>
      </w:pPr>
    </w:p>
    <w:p>
      <w:pPr>
        <w:ind w:left="1160" w:right="899"/>
        <w:spacing w:after="0" w:line="293" w:lineRule="auto"/>
        <w:rPr>
          <w:sz w:val="20"/>
          <w:szCs w:val="20"/>
          <w:color w:val="auto"/>
        </w:rPr>
      </w:pPr>
      <w:r>
        <w:rPr>
          <w:rFonts w:ascii="Arial" w:cs="Arial" w:eastAsia="Arial" w:hAnsi="Arial"/>
          <w:sz w:val="15"/>
          <w:szCs w:val="15"/>
          <w:color w:val="auto"/>
        </w:rPr>
        <w:t>unless, in the case of any particular indebtedness, renewal, extension or refunding, the instrument creating or evidencing it or the assumption or guarantee relating to it expressly provides that such indebtedness, renewal, extension or refunding is not superior in right of payment to the subordinated debt securities. Our senior debt securities constitute senior indebtedness for purposes of the subordinated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225425</wp:posOffset>
            </wp:positionV>
            <wp:extent cx="6271260"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6">
                      <a:extLst>
                        <a:ext uri="{28A0092B-C50C-407E-A947-70E740481C1C}"/>
                      </a:extLst>
                    </a:blip>
                    <a:srcRect/>
                    <a:stretch>
                      <a:fillRect/>
                    </a:stretch>
                  </pic:blipFill>
                  <pic:spPr bwMode="auto">
                    <a:xfrm>
                      <a:off x="0" y="0"/>
                      <a:ext cx="6271260" cy="41275"/>
                    </a:xfrm>
                    <a:prstGeom prst="rect">
                      <a:avLst/>
                    </a:prstGeom>
                    <a:noFill/>
                  </pic:spPr>
                </pic:pic>
              </a:graphicData>
            </a:graphic>
          </wp:anchor>
        </w:drawing>
      </w:r>
    </w:p>
    <w:p>
      <w:pPr>
        <w:sectPr>
          <w:pgSz w:w="11900" w:h="16838" w:orient="portrait"/>
          <w:cols w:equalWidth="0" w:num="1">
            <w:col w:w="9439"/>
          </w:cols>
          <w:pgMar w:left="1020" w:top="132" w:right="1440" w:bottom="1440" w:gutter="0" w:footer="0" w:header="0"/>
        </w:sectPr>
      </w:pPr>
    </w:p>
    <w:bookmarkStart w:id="17" w:name="page18"/>
    <w:bookmarkEnd w:id="17"/>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400"/>
        <w:spacing w:after="0"/>
        <w:rPr>
          <w:sz w:val="20"/>
          <w:szCs w:val="20"/>
          <w:color w:val="auto"/>
        </w:rPr>
      </w:pPr>
      <w:r>
        <w:rPr>
          <w:rFonts w:ascii="Arial" w:cs="Arial" w:eastAsia="Arial" w:hAnsi="Arial"/>
          <w:sz w:val="17"/>
          <w:szCs w:val="17"/>
          <w:b w:val="1"/>
          <w:bCs w:val="1"/>
          <w:color w:val="auto"/>
        </w:rPr>
        <w:t>DESCRIPTION OF CAPITAL STOCK</w:t>
      </w:r>
    </w:p>
    <w:p>
      <w:pPr>
        <w:spacing w:after="0" w:line="131" w:lineRule="exact"/>
        <w:rPr>
          <w:sz w:val="20"/>
          <w:szCs w:val="20"/>
          <w:color w:val="auto"/>
        </w:rPr>
      </w:pPr>
    </w:p>
    <w:p>
      <w:pPr>
        <w:ind w:left="1160" w:right="959" w:firstLine="331"/>
        <w:spacing w:after="0" w:line="271" w:lineRule="auto"/>
        <w:rPr>
          <w:sz w:val="20"/>
          <w:szCs w:val="20"/>
          <w:color w:val="auto"/>
        </w:rPr>
      </w:pPr>
      <w:r>
        <w:rPr>
          <w:rFonts w:ascii="Arial" w:cs="Arial" w:eastAsia="Arial" w:hAnsi="Arial"/>
          <w:sz w:val="15"/>
          <w:szCs w:val="15"/>
          <w:color w:val="auto"/>
        </w:rPr>
        <w:t>The following description of our capital stock is intended as a summary only and therefore is not a complete description of our capital stock. This description is based upon, and is qualified by reference to, our certificate of incorporation, our by-laws and applicable provisions of Delaware corporate law. You should read our certificate of incorporation and by-laws, which are filed as exhibits to the registration statement of which this prospectus forms a part, for the provisions that are important to you.</w:t>
      </w:r>
    </w:p>
    <w:p>
      <w:pPr>
        <w:spacing w:after="0" w:line="93" w:lineRule="exact"/>
        <w:rPr>
          <w:sz w:val="20"/>
          <w:szCs w:val="20"/>
          <w:color w:val="auto"/>
        </w:rPr>
      </w:pPr>
    </w:p>
    <w:p>
      <w:pPr>
        <w:ind w:left="1160" w:right="799" w:firstLine="331"/>
        <w:spacing w:after="0" w:line="245" w:lineRule="auto"/>
        <w:rPr>
          <w:sz w:val="20"/>
          <w:szCs w:val="20"/>
          <w:color w:val="auto"/>
        </w:rPr>
      </w:pPr>
      <w:r>
        <w:rPr>
          <w:rFonts w:ascii="Arial" w:cs="Arial" w:eastAsia="Arial" w:hAnsi="Arial"/>
          <w:sz w:val="17"/>
          <w:szCs w:val="17"/>
          <w:color w:val="auto"/>
        </w:rPr>
        <w:t>Our authorized capital stock consists of 200,000,000 shares of our common stock, $0.001 par value per share, and 5,000,000 shares of our preferred stock, $0.001 par value per share.</w:t>
      </w:r>
    </w:p>
    <w:p>
      <w:pPr>
        <w:spacing w:after="0" w:line="109" w:lineRule="exact"/>
        <w:rPr>
          <w:sz w:val="20"/>
          <w:szCs w:val="20"/>
          <w:color w:val="auto"/>
        </w:rPr>
      </w:pPr>
    </w:p>
    <w:p>
      <w:pPr>
        <w:ind w:left="1160" w:right="879" w:firstLine="331"/>
        <w:spacing w:after="0" w:line="245" w:lineRule="auto"/>
        <w:rPr>
          <w:sz w:val="20"/>
          <w:szCs w:val="20"/>
          <w:color w:val="auto"/>
        </w:rPr>
      </w:pPr>
      <w:r>
        <w:rPr>
          <w:rFonts w:ascii="Arial" w:cs="Arial" w:eastAsia="Arial" w:hAnsi="Arial"/>
          <w:sz w:val="17"/>
          <w:szCs w:val="17"/>
          <w:color w:val="auto"/>
        </w:rPr>
        <w:t>As of October 19, 2021, we had issued and outstanding 104,246,736 shares of our common stock, and no shares of preferred stock were outstanding.</w:t>
      </w:r>
    </w:p>
    <w:p>
      <w:pPr>
        <w:spacing w:after="0" w:line="167"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Common Stock</w:t>
      </w:r>
    </w:p>
    <w:p>
      <w:pPr>
        <w:spacing w:after="0" w:line="131" w:lineRule="exact"/>
        <w:rPr>
          <w:sz w:val="20"/>
          <w:szCs w:val="20"/>
          <w:color w:val="auto"/>
        </w:rPr>
      </w:pPr>
    </w:p>
    <w:p>
      <w:pPr>
        <w:ind w:left="1160" w:right="759" w:firstLine="331"/>
        <w:spacing w:after="0" w:line="263" w:lineRule="auto"/>
        <w:rPr>
          <w:sz w:val="20"/>
          <w:szCs w:val="20"/>
          <w:color w:val="auto"/>
        </w:rPr>
      </w:pPr>
      <w:r>
        <w:rPr>
          <w:rFonts w:ascii="Arial" w:cs="Arial" w:eastAsia="Arial" w:hAnsi="Arial"/>
          <w:sz w:val="15"/>
          <w:szCs w:val="15"/>
          <w:i w:val="1"/>
          <w:iCs w:val="1"/>
          <w:color w:val="auto"/>
        </w:rPr>
        <w:t xml:space="preserve">Annual Meeting. </w:t>
      </w:r>
      <w:r>
        <w:rPr>
          <w:rFonts w:ascii="Arial" w:cs="Arial" w:eastAsia="Arial" w:hAnsi="Arial"/>
          <w:sz w:val="15"/>
          <w:szCs w:val="15"/>
          <w:color w:val="auto"/>
        </w:rPr>
        <w:t>Annual meetings of our stockholders are held on the date designated in accordance</w:t>
      </w:r>
      <w:r>
        <w:rPr>
          <w:rFonts w:ascii="Arial" w:cs="Arial" w:eastAsia="Arial" w:hAnsi="Arial"/>
          <w:sz w:val="15"/>
          <w:szCs w:val="15"/>
          <w:i w:val="1"/>
          <w:iCs w:val="1"/>
          <w:color w:val="auto"/>
        </w:rPr>
        <w:t xml:space="preserve"> </w:t>
      </w:r>
      <w:r>
        <w:rPr>
          <w:rFonts w:ascii="Arial" w:cs="Arial" w:eastAsia="Arial" w:hAnsi="Arial"/>
          <w:sz w:val="15"/>
          <w:szCs w:val="15"/>
          <w:color w:val="auto"/>
        </w:rPr>
        <w:t>with our by-laws. Written notice must be mailed to each stockholder entitled to vote not less than ten nor more than 60 days before the date of the meeting. The presence in person or by proxy of the holders of record of a majority of our issued and outstanding shares entitled to vote at such meeting constitutes a quorum for the transaction of business at meetings of the stockholders. Special meetings of the stockholders may be called for any purpose by only the board of directors, the Chairman of the board of directors or the Chief Executive Officer. Except as may be otherwise provided by applicable law, our certificate of incorporation or our by-laws, all elections of directors shall be decided by a plurality of the votes cast by the stockholders entitled to vote on the election, and all other questions shall be decided by the vote of the holders of shares of stock having a majority in voting power of the votes cast by the holders of all of the shares of stock present or represented at the meeting and voting affirmatively or negatively on such matter at a duly held meeting of stockholders at which a quorum is present.</w:t>
      </w:r>
    </w:p>
    <w:p>
      <w:pPr>
        <w:spacing w:after="0" w:line="290" w:lineRule="exact"/>
        <w:rPr>
          <w:sz w:val="20"/>
          <w:szCs w:val="20"/>
          <w:color w:val="auto"/>
        </w:rPr>
      </w:pPr>
    </w:p>
    <w:p>
      <w:pPr>
        <w:ind w:left="1160" w:right="859" w:firstLine="331"/>
        <w:spacing w:after="0" w:line="245"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Each holder of common stock is entitled to one vote for each share held of record on all</w:t>
      </w:r>
      <w:r>
        <w:rPr>
          <w:rFonts w:ascii="Arial" w:cs="Arial" w:eastAsia="Arial" w:hAnsi="Arial"/>
          <w:sz w:val="17"/>
          <w:szCs w:val="17"/>
          <w:i w:val="1"/>
          <w:iCs w:val="1"/>
          <w:color w:val="auto"/>
        </w:rPr>
        <w:t xml:space="preserve"> </w:t>
      </w:r>
      <w:r>
        <w:rPr>
          <w:rFonts w:ascii="Arial" w:cs="Arial" w:eastAsia="Arial" w:hAnsi="Arial"/>
          <w:sz w:val="17"/>
          <w:szCs w:val="17"/>
          <w:color w:val="auto"/>
        </w:rPr>
        <w:t>matters to be voted upon by stockholders.</w:t>
      </w:r>
    </w:p>
    <w:p>
      <w:pPr>
        <w:spacing w:after="0" w:line="109" w:lineRule="exact"/>
        <w:rPr>
          <w:sz w:val="20"/>
          <w:szCs w:val="20"/>
          <w:color w:val="auto"/>
        </w:rPr>
      </w:pPr>
    </w:p>
    <w:p>
      <w:pPr>
        <w:jc w:val="both"/>
        <w:ind w:left="1160" w:right="779" w:firstLine="331"/>
        <w:spacing w:after="0" w:line="235"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 Subject to the rights, powers and preferences of any outstanding preferred stock, and except</w:t>
      </w:r>
      <w:r>
        <w:rPr>
          <w:rFonts w:ascii="Arial" w:cs="Arial" w:eastAsia="Arial" w:hAnsi="Arial"/>
          <w:sz w:val="17"/>
          <w:szCs w:val="17"/>
          <w:i w:val="1"/>
          <w:iCs w:val="1"/>
          <w:color w:val="auto"/>
        </w:rPr>
        <w:t xml:space="preserve"> </w:t>
      </w:r>
      <w:r>
        <w:rPr>
          <w:rFonts w:ascii="Arial" w:cs="Arial" w:eastAsia="Arial" w:hAnsi="Arial"/>
          <w:sz w:val="17"/>
          <w:szCs w:val="17"/>
          <w:color w:val="auto"/>
        </w:rPr>
        <w:t>as provided by law or in our certificate of incorporation, dividends may be declared and paid or set aside for payment on the common stock out of legally available assets or funds when and as declared by the board of directors.</w:t>
      </w:r>
    </w:p>
    <w:p>
      <w:pPr>
        <w:spacing w:after="0" w:line="103" w:lineRule="exact"/>
        <w:rPr>
          <w:sz w:val="20"/>
          <w:szCs w:val="20"/>
          <w:color w:val="auto"/>
        </w:rPr>
      </w:pPr>
    </w:p>
    <w:p>
      <w:pPr>
        <w:jc w:val="both"/>
        <w:ind w:left="1160" w:right="779" w:firstLine="331"/>
        <w:spacing w:after="0" w:line="237" w:lineRule="auto"/>
        <w:rPr>
          <w:sz w:val="20"/>
          <w:szCs w:val="20"/>
          <w:color w:val="auto"/>
        </w:rPr>
      </w:pPr>
      <w:r>
        <w:rPr>
          <w:rFonts w:ascii="Arial" w:cs="Arial" w:eastAsia="Arial" w:hAnsi="Arial"/>
          <w:sz w:val="17"/>
          <w:szCs w:val="17"/>
          <w:i w:val="1"/>
          <w:iCs w:val="1"/>
          <w:color w:val="auto"/>
        </w:rPr>
        <w:t>Liquidation and Dissolution</w:t>
      </w:r>
      <w:r>
        <w:rPr>
          <w:rFonts w:ascii="Arial" w:cs="Arial" w:eastAsia="Arial" w:hAnsi="Arial"/>
          <w:sz w:val="17"/>
          <w:szCs w:val="17"/>
          <w:color w:val="auto"/>
        </w:rPr>
        <w:t>. Subject to the rights, powers and preferences of any outstanding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in the event of our liquidation or dissolution, our net assets will be distributed pro rata to the holders of our common stock.</w:t>
      </w:r>
    </w:p>
    <w:p>
      <w:pPr>
        <w:spacing w:after="0" w:line="115" w:lineRule="exact"/>
        <w:rPr>
          <w:sz w:val="20"/>
          <w:szCs w:val="20"/>
          <w:color w:val="auto"/>
        </w:rPr>
      </w:pPr>
    </w:p>
    <w:p>
      <w:pPr>
        <w:ind w:left="1480"/>
        <w:spacing w:after="0"/>
        <w:rPr>
          <w:sz w:val="20"/>
          <w:szCs w:val="20"/>
          <w:color w:val="auto"/>
        </w:rPr>
      </w:pPr>
      <w:r>
        <w:rPr>
          <w:rFonts w:ascii="Arial" w:cs="Arial" w:eastAsia="Arial" w:hAnsi="Arial"/>
          <w:sz w:val="17"/>
          <w:szCs w:val="17"/>
          <w:i w:val="1"/>
          <w:iCs w:val="1"/>
          <w:color w:val="auto"/>
        </w:rPr>
        <w:t>Other Rights</w:t>
      </w:r>
      <w:r>
        <w:rPr>
          <w:rFonts w:ascii="Arial" w:cs="Arial" w:eastAsia="Arial" w:hAnsi="Arial"/>
          <w:sz w:val="17"/>
          <w:szCs w:val="17"/>
          <w:color w:val="auto"/>
        </w:rPr>
        <w:t>. Holders of the common stock have no right to:</w:t>
      </w:r>
    </w:p>
    <w:p>
      <w:pPr>
        <w:spacing w:after="0" w:line="102" w:lineRule="exact"/>
        <w:rPr>
          <w:sz w:val="20"/>
          <w:szCs w:val="20"/>
          <w:color w:val="auto"/>
        </w:rPr>
      </w:pPr>
    </w:p>
    <w:p>
      <w:pPr>
        <w:ind w:left="1640" w:hanging="156"/>
        <w:spacing w:after="0"/>
        <w:tabs>
          <w:tab w:leader="none" w:pos="1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convert the stock into any other security;</w:t>
      </w:r>
    </w:p>
    <w:p>
      <w:pPr>
        <w:spacing w:after="0" w:line="89" w:lineRule="exact"/>
        <w:rPr>
          <w:rFonts w:ascii="Arial" w:cs="Arial" w:eastAsia="Arial" w:hAnsi="Arial"/>
          <w:sz w:val="17"/>
          <w:szCs w:val="17"/>
          <w:color w:val="auto"/>
        </w:rPr>
      </w:pPr>
    </w:p>
    <w:p>
      <w:pPr>
        <w:ind w:left="1640" w:hanging="156"/>
        <w:spacing w:after="0"/>
        <w:tabs>
          <w:tab w:leader="none" w:pos="1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have the stock redeemed;</w:t>
      </w:r>
    </w:p>
    <w:p>
      <w:pPr>
        <w:spacing w:after="0" w:line="102" w:lineRule="exact"/>
        <w:rPr>
          <w:rFonts w:ascii="Arial" w:cs="Arial" w:eastAsia="Arial" w:hAnsi="Arial"/>
          <w:sz w:val="17"/>
          <w:szCs w:val="17"/>
          <w:color w:val="auto"/>
        </w:rPr>
      </w:pPr>
    </w:p>
    <w:p>
      <w:pPr>
        <w:ind w:left="1640" w:hanging="156"/>
        <w:spacing w:after="0"/>
        <w:tabs>
          <w:tab w:leader="none" w:pos="1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purchase additional stock; or</w:t>
      </w:r>
    </w:p>
    <w:p>
      <w:pPr>
        <w:spacing w:after="0" w:line="102" w:lineRule="exact"/>
        <w:rPr>
          <w:rFonts w:ascii="Arial" w:cs="Arial" w:eastAsia="Arial" w:hAnsi="Arial"/>
          <w:sz w:val="17"/>
          <w:szCs w:val="17"/>
          <w:color w:val="auto"/>
        </w:rPr>
      </w:pPr>
    </w:p>
    <w:p>
      <w:pPr>
        <w:ind w:left="1640" w:hanging="156"/>
        <w:spacing w:after="0"/>
        <w:tabs>
          <w:tab w:leader="none" w:pos="1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maintain their proportionate ownership interest.</w:t>
      </w:r>
    </w:p>
    <w:p>
      <w:pPr>
        <w:spacing w:after="0" w:line="127" w:lineRule="exact"/>
        <w:rPr>
          <w:sz w:val="20"/>
          <w:szCs w:val="20"/>
          <w:color w:val="auto"/>
        </w:rPr>
      </w:pPr>
    </w:p>
    <w:p>
      <w:pPr>
        <w:ind w:left="1160" w:right="839" w:firstLine="331"/>
        <w:spacing w:after="0" w:line="245" w:lineRule="auto"/>
        <w:rPr>
          <w:sz w:val="20"/>
          <w:szCs w:val="20"/>
          <w:color w:val="auto"/>
        </w:rPr>
      </w:pPr>
      <w:r>
        <w:rPr>
          <w:rFonts w:ascii="Arial" w:cs="Arial" w:eastAsia="Arial" w:hAnsi="Arial"/>
          <w:sz w:val="17"/>
          <w:szCs w:val="17"/>
          <w:color w:val="auto"/>
        </w:rPr>
        <w:t>The common stock does not have cumulative voting rights. Holders of shares of the common stock are not required to make additional capital contributions.</w:t>
      </w:r>
    </w:p>
    <w:p>
      <w:pPr>
        <w:spacing w:after="0" w:line="109" w:lineRule="exact"/>
        <w:rPr>
          <w:sz w:val="20"/>
          <w:szCs w:val="20"/>
          <w:color w:val="auto"/>
        </w:rPr>
      </w:pPr>
    </w:p>
    <w:p>
      <w:pPr>
        <w:ind w:left="1160" w:right="939" w:firstLine="331"/>
        <w:spacing w:after="0" w:line="245" w:lineRule="auto"/>
        <w:rPr>
          <w:sz w:val="20"/>
          <w:szCs w:val="20"/>
          <w:color w:val="auto"/>
        </w:rPr>
      </w:pPr>
      <w:r>
        <w:rPr>
          <w:rFonts w:ascii="Arial" w:cs="Arial" w:eastAsia="Arial" w:hAnsi="Arial"/>
          <w:sz w:val="17"/>
          <w:szCs w:val="17"/>
          <w:i w:val="1"/>
          <w:iCs w:val="1"/>
          <w:color w:val="auto"/>
        </w:rPr>
        <w:t>Transfer Agent and Registrar</w:t>
      </w:r>
      <w:r>
        <w:rPr>
          <w:rFonts w:ascii="Arial" w:cs="Arial" w:eastAsia="Arial" w:hAnsi="Arial"/>
          <w:sz w:val="17"/>
          <w:szCs w:val="17"/>
          <w:color w:val="auto"/>
        </w:rPr>
        <w:t>. Computershare Trust Company, N.A. is transfer agent and registrar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common stock.</w:t>
      </w:r>
    </w:p>
    <w:p>
      <w:pPr>
        <w:spacing w:after="0" w:line="167"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Preferred Stock</w:t>
      </w:r>
    </w:p>
    <w:p>
      <w:pPr>
        <w:spacing w:after="0" w:line="143" w:lineRule="exact"/>
        <w:rPr>
          <w:sz w:val="20"/>
          <w:szCs w:val="20"/>
          <w:color w:val="auto"/>
        </w:rPr>
      </w:pPr>
    </w:p>
    <w:p>
      <w:pPr>
        <w:jc w:val="both"/>
        <w:ind w:left="1160" w:right="979" w:firstLine="331"/>
        <w:spacing w:after="0" w:line="284" w:lineRule="auto"/>
        <w:rPr>
          <w:sz w:val="20"/>
          <w:szCs w:val="20"/>
          <w:color w:val="auto"/>
        </w:rPr>
      </w:pPr>
      <w:r>
        <w:rPr>
          <w:rFonts w:ascii="Arial" w:cs="Arial" w:eastAsia="Arial" w:hAnsi="Arial"/>
          <w:sz w:val="15"/>
          <w:szCs w:val="15"/>
          <w:color w:val="auto"/>
        </w:rPr>
        <w:t>We are authorized to issue “blank check” preferred stock, which may be issued in one or more series upon authorization of our board of directors. Our board of directors is authorized to fix the designations, powers, preferences and the relative, participating, optional or other special rights and any qualifications,</w:t>
      </w:r>
    </w:p>
    <w:p>
      <w:pPr>
        <w:spacing w:after="0" w:line="306"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225425</wp:posOffset>
            </wp:positionV>
            <wp:extent cx="6271260"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extLst>
                    </a:blip>
                    <a:srcRect/>
                    <a:stretch>
                      <a:fillRect/>
                    </a:stretch>
                  </pic:blipFill>
                  <pic:spPr bwMode="auto">
                    <a:xfrm>
                      <a:off x="0" y="0"/>
                      <a:ext cx="6271260" cy="41275"/>
                    </a:xfrm>
                    <a:prstGeom prst="rect">
                      <a:avLst/>
                    </a:prstGeom>
                    <a:noFill/>
                  </pic:spPr>
                </pic:pic>
              </a:graphicData>
            </a:graphic>
          </wp:anchor>
        </w:drawing>
      </w:r>
    </w:p>
    <w:p>
      <w:pPr>
        <w:sectPr>
          <w:pgSz w:w="11900" w:h="16838" w:orient="portrait"/>
          <w:cols w:equalWidth="0" w:num="1">
            <w:col w:w="9439"/>
          </w:cols>
          <w:pgMar w:left="1020" w:top="132" w:right="1440" w:bottom="1440" w:gutter="0" w:footer="0" w:header="0"/>
        </w:sectPr>
      </w:pPr>
    </w:p>
    <w:bookmarkStart w:id="18" w:name="page19"/>
    <w:bookmarkEnd w:id="18"/>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160" w:right="779"/>
        <w:spacing w:after="0" w:line="232" w:lineRule="auto"/>
        <w:rPr>
          <w:sz w:val="20"/>
          <w:szCs w:val="20"/>
          <w:color w:val="auto"/>
        </w:rPr>
      </w:pPr>
      <w:r>
        <w:rPr>
          <w:rFonts w:ascii="Arial" w:cs="Arial" w:eastAsia="Arial" w:hAnsi="Arial"/>
          <w:sz w:val="17"/>
          <w:szCs w:val="17"/>
          <w:color w:val="auto"/>
        </w:rPr>
        <w:t>limitations and restrictions of the shares of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The specific terms of any series of preferred stock offered pursuant to this prospectus will be described in the prospectus supplement relating to that series of preferred stock.</w:t>
      </w:r>
    </w:p>
    <w:p>
      <w:pPr>
        <w:spacing w:after="0" w:line="104" w:lineRule="exact"/>
        <w:rPr>
          <w:sz w:val="20"/>
          <w:szCs w:val="20"/>
          <w:color w:val="auto"/>
        </w:rPr>
      </w:pPr>
    </w:p>
    <w:p>
      <w:pPr>
        <w:ind w:left="1160" w:right="759" w:firstLine="331"/>
        <w:spacing w:after="0" w:line="267" w:lineRule="auto"/>
        <w:rPr>
          <w:sz w:val="20"/>
          <w:szCs w:val="20"/>
          <w:color w:val="auto"/>
        </w:rPr>
      </w:pPr>
      <w:r>
        <w:rPr>
          <w:rFonts w:ascii="Arial" w:cs="Arial" w:eastAsia="Arial" w:hAnsi="Arial"/>
          <w:sz w:val="15"/>
          <w:szCs w:val="15"/>
          <w:color w:val="auto"/>
        </w:rPr>
        <w:t>A series of our preferred stock could, depending on the terms of such series, impede the completion of a merger, tender offer or other takeover attempt. Our board of directors will make any determination to issue preferred shares based upon its judgment as to the best interests of our stockholders. Our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w:t>
      </w:r>
    </w:p>
    <w:p>
      <w:pPr>
        <w:spacing w:after="0" w:line="96" w:lineRule="exact"/>
        <w:rPr>
          <w:sz w:val="20"/>
          <w:szCs w:val="20"/>
          <w:color w:val="auto"/>
        </w:rPr>
      </w:pPr>
    </w:p>
    <w:p>
      <w:pPr>
        <w:ind w:left="1160" w:right="1099" w:firstLine="331"/>
        <w:spacing w:after="0" w:line="284" w:lineRule="auto"/>
        <w:rPr>
          <w:sz w:val="20"/>
          <w:szCs w:val="20"/>
          <w:color w:val="auto"/>
        </w:rPr>
      </w:pPr>
      <w:r>
        <w:rPr>
          <w:rFonts w:ascii="Arial" w:cs="Arial" w:eastAsia="Arial" w:hAnsi="Arial"/>
          <w:sz w:val="15"/>
          <w:szCs w:val="15"/>
          <w:color w:val="auto"/>
        </w:rPr>
        <w:t>The preferred stock has the terms described below unless otherwise provided in the prospectus supplement relating to a particular series of preferred stock. You should read the prospectus supplement relating to the particular series of preferred stock being offered for specific terms, including:</w:t>
      </w:r>
    </w:p>
    <w:p>
      <w:pPr>
        <w:spacing w:after="0" w:line="45" w:lineRule="exact"/>
        <w:rPr>
          <w:sz w:val="20"/>
          <w:szCs w:val="20"/>
          <w:color w:val="auto"/>
        </w:rPr>
      </w:pPr>
    </w:p>
    <w:p>
      <w:pPr>
        <w:ind w:left="1640" w:hanging="156"/>
        <w:spacing w:after="0"/>
        <w:tabs>
          <w:tab w:leader="none" w:pos="16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designation and stated value per share of the preferred stock and the number of shares offered;</w:t>
      </w:r>
    </w:p>
    <w:p>
      <w:pPr>
        <w:spacing w:after="0" w:line="125" w:lineRule="exact"/>
        <w:rPr>
          <w:rFonts w:ascii="Arial" w:cs="Arial" w:eastAsia="Arial" w:hAnsi="Arial"/>
          <w:sz w:val="15"/>
          <w:szCs w:val="15"/>
          <w:color w:val="auto"/>
        </w:rPr>
      </w:pPr>
    </w:p>
    <w:p>
      <w:pPr>
        <w:ind w:left="1640" w:hanging="156"/>
        <w:spacing w:after="0"/>
        <w:tabs>
          <w:tab w:leader="none" w:pos="1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amount of liquidation preference per share;</w:t>
      </w:r>
    </w:p>
    <w:p>
      <w:pPr>
        <w:spacing w:after="0" w:line="102" w:lineRule="exact"/>
        <w:rPr>
          <w:rFonts w:ascii="Arial" w:cs="Arial" w:eastAsia="Arial" w:hAnsi="Arial"/>
          <w:sz w:val="17"/>
          <w:szCs w:val="17"/>
          <w:color w:val="auto"/>
        </w:rPr>
      </w:pPr>
    </w:p>
    <w:p>
      <w:pPr>
        <w:ind w:left="1640" w:hanging="156"/>
        <w:spacing w:after="0"/>
        <w:tabs>
          <w:tab w:leader="none" w:pos="1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price at which the preferred stock will be issued;</w:t>
      </w:r>
    </w:p>
    <w:p>
      <w:pPr>
        <w:spacing w:after="0" w:line="89" w:lineRule="exact"/>
        <w:rPr>
          <w:rFonts w:ascii="Arial" w:cs="Arial" w:eastAsia="Arial" w:hAnsi="Arial"/>
          <w:sz w:val="17"/>
          <w:szCs w:val="17"/>
          <w:color w:val="auto"/>
        </w:rPr>
      </w:pPr>
    </w:p>
    <w:p>
      <w:pPr>
        <w:ind w:left="1640" w:right="919" w:hanging="156"/>
        <w:spacing w:after="0" w:line="252" w:lineRule="auto"/>
        <w:tabs>
          <w:tab w:leader="none" w:pos="1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dividend rate, or method of calculation of dividends, the dates on which dividends will be payable, whether dividends will be cumulative or noncumulative and, if cumulative, the dates from which dividends will commence to accumulate;</w:t>
      </w:r>
    </w:p>
    <w:p>
      <w:pPr>
        <w:spacing w:after="0" w:line="78" w:lineRule="exact"/>
        <w:rPr>
          <w:rFonts w:ascii="Arial" w:cs="Arial" w:eastAsia="Arial" w:hAnsi="Arial"/>
          <w:sz w:val="17"/>
          <w:szCs w:val="17"/>
          <w:color w:val="auto"/>
        </w:rPr>
      </w:pPr>
    </w:p>
    <w:p>
      <w:pPr>
        <w:ind w:left="1640" w:hanging="156"/>
        <w:spacing w:after="0"/>
        <w:tabs>
          <w:tab w:leader="none" w:pos="1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redemption or sinking fund provisions;</w:t>
      </w:r>
    </w:p>
    <w:p>
      <w:pPr>
        <w:spacing w:after="0" w:line="102" w:lineRule="exact"/>
        <w:rPr>
          <w:rFonts w:ascii="Arial" w:cs="Arial" w:eastAsia="Arial" w:hAnsi="Arial"/>
          <w:sz w:val="17"/>
          <w:szCs w:val="17"/>
          <w:color w:val="auto"/>
        </w:rPr>
      </w:pPr>
    </w:p>
    <w:p>
      <w:pPr>
        <w:ind w:left="1640" w:right="1099" w:hanging="156"/>
        <w:spacing w:after="0" w:line="252" w:lineRule="auto"/>
        <w:tabs>
          <w:tab w:leader="none" w:pos="1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other than the currency of the United States, the currency or currencies including composite currencies in which the preferred stock is denominated and/or in which payments will or may be payable;</w:t>
      </w:r>
    </w:p>
    <w:p>
      <w:pPr>
        <w:spacing w:after="0" w:line="78" w:lineRule="exact"/>
        <w:rPr>
          <w:rFonts w:ascii="Arial" w:cs="Arial" w:eastAsia="Arial" w:hAnsi="Arial"/>
          <w:sz w:val="17"/>
          <w:szCs w:val="17"/>
          <w:color w:val="auto"/>
        </w:rPr>
      </w:pPr>
    </w:p>
    <w:p>
      <w:pPr>
        <w:ind w:left="1640" w:hanging="156"/>
        <w:spacing w:after="0"/>
        <w:tabs>
          <w:tab w:leader="none" w:pos="1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conversion provisions;</w:t>
      </w:r>
    </w:p>
    <w:p>
      <w:pPr>
        <w:spacing w:after="0" w:line="102" w:lineRule="exact"/>
        <w:rPr>
          <w:rFonts w:ascii="Arial" w:cs="Arial" w:eastAsia="Arial" w:hAnsi="Arial"/>
          <w:sz w:val="17"/>
          <w:szCs w:val="17"/>
          <w:color w:val="auto"/>
        </w:rPr>
      </w:pPr>
    </w:p>
    <w:p>
      <w:pPr>
        <w:ind w:left="1640" w:right="1019" w:hanging="156"/>
        <w:spacing w:after="0" w:line="260" w:lineRule="auto"/>
        <w:tabs>
          <w:tab w:leader="none" w:pos="1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whether we have elected to offer depositary shares as described under “Description of Depositary Shares;” and</w:t>
      </w:r>
    </w:p>
    <w:p>
      <w:pPr>
        <w:spacing w:after="0" w:line="72" w:lineRule="exact"/>
        <w:rPr>
          <w:rFonts w:ascii="Arial" w:cs="Arial" w:eastAsia="Arial" w:hAnsi="Arial"/>
          <w:sz w:val="17"/>
          <w:szCs w:val="17"/>
          <w:color w:val="auto"/>
        </w:rPr>
      </w:pPr>
    </w:p>
    <w:p>
      <w:pPr>
        <w:ind w:left="1640" w:hanging="156"/>
        <w:spacing w:after="0"/>
        <w:tabs>
          <w:tab w:leader="none" w:pos="1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other rights, preferences, privileges, limitations and restrictions on the preferred stock.</w:t>
      </w:r>
    </w:p>
    <w:p>
      <w:pPr>
        <w:spacing w:after="0" w:line="127" w:lineRule="exact"/>
        <w:rPr>
          <w:sz w:val="20"/>
          <w:szCs w:val="20"/>
          <w:color w:val="auto"/>
        </w:rPr>
      </w:pPr>
    </w:p>
    <w:p>
      <w:pPr>
        <w:jc w:val="both"/>
        <w:ind w:left="1160" w:right="859" w:firstLine="331"/>
        <w:spacing w:after="0" w:line="275" w:lineRule="auto"/>
        <w:rPr>
          <w:sz w:val="20"/>
          <w:szCs w:val="20"/>
          <w:color w:val="auto"/>
        </w:rPr>
      </w:pPr>
      <w:r>
        <w:rPr>
          <w:rFonts w:ascii="Arial" w:cs="Arial" w:eastAsia="Arial" w:hAnsi="Arial"/>
          <w:sz w:val="15"/>
          <w:szCs w:val="15"/>
          <w:color w:val="auto"/>
        </w:rPr>
        <w:t>The preferred stock will, when issued, be fully paid and non-assessable. Unless otherwise specified in the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w:t>
      </w:r>
    </w:p>
    <w:p>
      <w:pPr>
        <w:spacing w:after="0" w:line="90" w:lineRule="exact"/>
        <w:rPr>
          <w:sz w:val="20"/>
          <w:szCs w:val="20"/>
          <w:color w:val="auto"/>
        </w:rPr>
      </w:pPr>
    </w:p>
    <w:p>
      <w:pPr>
        <w:ind w:left="1160" w:right="859" w:firstLine="331"/>
        <w:spacing w:after="0" w:line="234" w:lineRule="auto"/>
        <w:rPr>
          <w:sz w:val="20"/>
          <w:szCs w:val="20"/>
          <w:color w:val="auto"/>
        </w:rPr>
      </w:pPr>
      <w:r>
        <w:rPr>
          <w:rFonts w:ascii="Arial" w:cs="Arial" w:eastAsia="Arial" w:hAnsi="Arial"/>
          <w:sz w:val="17"/>
          <w:szCs w:val="17"/>
          <w:color w:val="auto"/>
        </w:rPr>
        <w:t>As described under “Description of Depositary Shares,” we may, at our option, with respect to any series of preferred stock, elect to offer fractional interests in shares of preferred stock, and provide for the issuance of depositary receipts representing depositary shares, each of which will represent a fractional interest in a share of the series of preferred stock. The fractional interest will be specified in the prospectus supplement relating to a particular series of preferred stock.</w:t>
      </w:r>
    </w:p>
    <w:p>
      <w:pPr>
        <w:spacing w:after="0" w:line="114" w:lineRule="exact"/>
        <w:rPr>
          <w:sz w:val="20"/>
          <w:szCs w:val="20"/>
          <w:color w:val="auto"/>
        </w:rPr>
      </w:pPr>
    </w:p>
    <w:p>
      <w:pPr>
        <w:ind w:left="1160" w:right="779" w:firstLine="331"/>
        <w:spacing w:after="0" w:line="310" w:lineRule="auto"/>
        <w:rPr>
          <w:sz w:val="20"/>
          <w:szCs w:val="20"/>
          <w:color w:val="auto"/>
        </w:rPr>
      </w:pPr>
      <w:r>
        <w:rPr>
          <w:rFonts w:ascii="Arial" w:cs="Arial" w:eastAsia="Arial" w:hAnsi="Arial"/>
          <w:sz w:val="15"/>
          <w:szCs w:val="15"/>
          <w:i w:val="1"/>
          <w:iCs w:val="1"/>
          <w:color w:val="auto"/>
        </w:rPr>
        <w:t>Rank</w:t>
      </w:r>
      <w:r>
        <w:rPr>
          <w:rFonts w:ascii="Arial" w:cs="Arial" w:eastAsia="Arial" w:hAnsi="Arial"/>
          <w:sz w:val="15"/>
          <w:szCs w:val="15"/>
          <w:color w:val="auto"/>
        </w:rPr>
        <w:t>. Unless otherwise specified in the prospectus supplement, the preferred stock will, with respect to</w:t>
      </w:r>
      <w:r>
        <w:rPr>
          <w:rFonts w:ascii="Arial" w:cs="Arial" w:eastAsia="Arial" w:hAnsi="Arial"/>
          <w:sz w:val="15"/>
          <w:szCs w:val="15"/>
          <w:i w:val="1"/>
          <w:iCs w:val="1"/>
          <w:color w:val="auto"/>
        </w:rPr>
        <w:t xml:space="preserve"> </w:t>
      </w:r>
      <w:r>
        <w:rPr>
          <w:rFonts w:ascii="Arial" w:cs="Arial" w:eastAsia="Arial" w:hAnsi="Arial"/>
          <w:sz w:val="15"/>
          <w:szCs w:val="15"/>
          <w:color w:val="auto"/>
        </w:rPr>
        <w:t>dividend rights and rights upon our liquidation, dissolution or winding up of our affairs, rank:</w:t>
      </w:r>
    </w:p>
    <w:p>
      <w:pPr>
        <w:spacing w:after="0" w:line="26" w:lineRule="exact"/>
        <w:rPr>
          <w:sz w:val="20"/>
          <w:szCs w:val="20"/>
          <w:color w:val="auto"/>
        </w:rPr>
      </w:pPr>
    </w:p>
    <w:p>
      <w:pPr>
        <w:ind w:left="1640" w:right="979" w:hanging="156"/>
        <w:spacing w:after="0" w:line="327" w:lineRule="auto"/>
        <w:tabs>
          <w:tab w:leader="none" w:pos="16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senior to our common stock and to all equity securities ranking junior to such preferred stock with respect to dividend rights or rights upon our liquidation, dissolution or winding up of our affairs;</w:t>
      </w:r>
    </w:p>
    <w:p>
      <w:pPr>
        <w:spacing w:after="0" w:line="13" w:lineRule="exact"/>
        <w:rPr>
          <w:rFonts w:ascii="Arial" w:cs="Arial" w:eastAsia="Arial" w:hAnsi="Arial"/>
          <w:sz w:val="15"/>
          <w:szCs w:val="15"/>
          <w:color w:val="auto"/>
        </w:rPr>
      </w:pPr>
    </w:p>
    <w:p>
      <w:pPr>
        <w:ind w:left="1640" w:right="939" w:hanging="156"/>
        <w:spacing w:after="0" w:line="252" w:lineRule="auto"/>
        <w:tabs>
          <w:tab w:leader="none" w:pos="1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on a parity with all equity securities issued by us, the terms of which specifically provide that such equity securities rank on a parity with the preferred stock with respect to dividend rights or rights upon our liquidation, dissolution or winding up of our affairs; and</w:t>
      </w:r>
    </w:p>
    <w:p>
      <w:pPr>
        <w:spacing w:after="0" w:line="352"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225425</wp:posOffset>
            </wp:positionV>
            <wp:extent cx="6271260"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a:extLst>
                        <a:ext uri="{28A0092B-C50C-407E-A947-70E740481C1C}"/>
                      </a:extLst>
                    </a:blip>
                    <a:srcRect/>
                    <a:stretch>
                      <a:fillRect/>
                    </a:stretch>
                  </pic:blipFill>
                  <pic:spPr bwMode="auto">
                    <a:xfrm>
                      <a:off x="0" y="0"/>
                      <a:ext cx="6271260" cy="41275"/>
                    </a:xfrm>
                    <a:prstGeom prst="rect">
                      <a:avLst/>
                    </a:prstGeom>
                    <a:noFill/>
                  </pic:spPr>
                </pic:pic>
              </a:graphicData>
            </a:graphic>
          </wp:anchor>
        </w:drawing>
      </w:r>
    </w:p>
    <w:p>
      <w:pPr>
        <w:sectPr>
          <w:pgSz w:w="11900" w:h="16838" w:orient="portrait"/>
          <w:cols w:equalWidth="0" w:num="1">
            <w:col w:w="9439"/>
          </w:cols>
          <w:pgMar w:left="1020" w:top="131" w:right="1440" w:bottom="1440" w:gutter="0" w:footer="0" w:header="0"/>
        </w:sectPr>
      </w:pPr>
    </w:p>
    <w:bookmarkStart w:id="19" w:name="page20"/>
    <w:bookmarkEnd w:id="19"/>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640" w:right="959" w:hanging="156"/>
        <w:spacing w:after="0" w:line="252" w:lineRule="auto"/>
        <w:tabs>
          <w:tab w:leader="none" w:pos="1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junior to all equity securities issued by us, the terms of which specifically provide that such equity securities rank senior to the preferred stock with respect to dividend rights or rights upon our liquidation, dissolution or winding up of our affairs.</w:t>
      </w:r>
    </w:p>
    <w:p>
      <w:pPr>
        <w:spacing w:after="0" w:line="10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The term “equity securities” does not include convertible debt securities.</w:t>
      </w:r>
    </w:p>
    <w:p>
      <w:pPr>
        <w:spacing w:after="0" w:line="139" w:lineRule="exact"/>
        <w:rPr>
          <w:sz w:val="20"/>
          <w:szCs w:val="20"/>
          <w:color w:val="auto"/>
        </w:rPr>
      </w:pPr>
    </w:p>
    <w:p>
      <w:pPr>
        <w:ind w:left="1160" w:right="879" w:firstLine="331"/>
        <w:spacing w:after="0" w:line="269" w:lineRule="auto"/>
        <w:rPr>
          <w:sz w:val="20"/>
          <w:szCs w:val="20"/>
          <w:color w:val="auto"/>
        </w:rPr>
      </w:pPr>
      <w:r>
        <w:rPr>
          <w:rFonts w:ascii="Arial" w:cs="Arial" w:eastAsia="Arial" w:hAnsi="Arial"/>
          <w:sz w:val="15"/>
          <w:szCs w:val="15"/>
          <w:i w:val="1"/>
          <w:iCs w:val="1"/>
          <w:color w:val="auto"/>
        </w:rPr>
        <w:t>Dividends</w:t>
      </w:r>
      <w:r>
        <w:rPr>
          <w:rFonts w:ascii="Arial" w:cs="Arial" w:eastAsia="Arial" w:hAnsi="Arial"/>
          <w:sz w:val="15"/>
          <w:szCs w:val="15"/>
          <w:color w:val="auto"/>
        </w:rPr>
        <w:t>. Holders of the preferred stock of each series will be entitled to receive, when, as and if</w:t>
      </w:r>
      <w:r>
        <w:rPr>
          <w:rFonts w:ascii="Arial" w:cs="Arial" w:eastAsia="Arial" w:hAnsi="Arial"/>
          <w:sz w:val="15"/>
          <w:szCs w:val="15"/>
          <w:i w:val="1"/>
          <w:iCs w:val="1"/>
          <w:color w:val="auto"/>
        </w:rPr>
        <w:t xml:space="preserve"> </w:t>
      </w:r>
      <w:r>
        <w:rPr>
          <w:rFonts w:ascii="Arial" w:cs="Arial" w:eastAsia="Arial" w:hAnsi="Arial"/>
          <w:sz w:val="15"/>
          <w:szCs w:val="15"/>
          <w:color w:val="auto"/>
        </w:rPr>
        <w:t>declared by our board of directors, cash dividends at such rates and on such dates described in the prospectus supplement. Different series of preferred stock may be entitled to dividends at different rates or based on different methods of calculation. The dividend rate may be fixed or variable or both. Dividends will be payable to the holders of record as they appear on our stock books on record dates fixed by our board of directors, as specified in the applicable prospectus supplement.</w:t>
      </w:r>
    </w:p>
    <w:p>
      <w:pPr>
        <w:spacing w:after="0" w:line="93" w:lineRule="exact"/>
        <w:rPr>
          <w:sz w:val="20"/>
          <w:szCs w:val="20"/>
          <w:color w:val="auto"/>
        </w:rPr>
      </w:pPr>
    </w:p>
    <w:p>
      <w:pPr>
        <w:ind w:left="1160" w:right="819" w:firstLine="331"/>
        <w:spacing w:after="0" w:line="231" w:lineRule="auto"/>
        <w:rPr>
          <w:sz w:val="20"/>
          <w:szCs w:val="20"/>
          <w:color w:val="auto"/>
        </w:rPr>
      </w:pPr>
      <w:r>
        <w:rPr>
          <w:rFonts w:ascii="Arial" w:cs="Arial" w:eastAsia="Arial" w:hAnsi="Arial"/>
          <w:sz w:val="17"/>
          <w:szCs w:val="17"/>
          <w:color w:val="auto"/>
        </w:rPr>
        <w:t>Dividends on any series of preferred stock may be cumulative or noncumulative, as described in the applicable prospectus supplement. If our board of directors does not declare a dividend payable on a 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w:t>
      </w:r>
    </w:p>
    <w:p>
      <w:pPr>
        <w:spacing w:after="0" w:line="107" w:lineRule="exact"/>
        <w:rPr>
          <w:sz w:val="20"/>
          <w:szCs w:val="20"/>
          <w:color w:val="auto"/>
        </w:rPr>
      </w:pPr>
    </w:p>
    <w:p>
      <w:pPr>
        <w:ind w:left="1160" w:right="779" w:firstLine="331"/>
        <w:spacing w:after="0" w:line="284" w:lineRule="auto"/>
        <w:rPr>
          <w:sz w:val="20"/>
          <w:szCs w:val="20"/>
          <w:color w:val="auto"/>
        </w:rPr>
      </w:pPr>
      <w:r>
        <w:rPr>
          <w:rFonts w:ascii="Arial" w:cs="Arial" w:eastAsia="Arial" w:hAnsi="Arial"/>
          <w:sz w:val="15"/>
          <w:szCs w:val="15"/>
          <w:color w:val="auto"/>
        </w:rPr>
        <w:t>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w:t>
      </w:r>
    </w:p>
    <w:p>
      <w:pPr>
        <w:spacing w:after="0" w:line="82" w:lineRule="exact"/>
        <w:rPr>
          <w:sz w:val="20"/>
          <w:szCs w:val="20"/>
          <w:color w:val="auto"/>
        </w:rPr>
      </w:pPr>
    </w:p>
    <w:p>
      <w:pPr>
        <w:ind w:left="1160" w:right="819" w:firstLine="331"/>
        <w:spacing w:after="0" w:line="235" w:lineRule="auto"/>
        <w:rPr>
          <w:sz w:val="20"/>
          <w:szCs w:val="20"/>
          <w:color w:val="auto"/>
        </w:rPr>
      </w:pPr>
      <w:r>
        <w:rPr>
          <w:rFonts w:ascii="Arial" w:cs="Arial" w:eastAsia="Arial" w:hAnsi="Arial"/>
          <w:sz w:val="17"/>
          <w:szCs w:val="17"/>
          <w:color w:val="auto"/>
        </w:rPr>
        <w:t>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w:t>
      </w:r>
    </w:p>
    <w:p>
      <w:pPr>
        <w:spacing w:after="0" w:line="115" w:lineRule="exact"/>
        <w:rPr>
          <w:sz w:val="20"/>
          <w:szCs w:val="20"/>
          <w:color w:val="auto"/>
        </w:rPr>
      </w:pPr>
    </w:p>
    <w:p>
      <w:pPr>
        <w:ind w:left="1160" w:right="759" w:firstLine="331"/>
        <w:spacing w:after="0" w:line="262" w:lineRule="auto"/>
        <w:rPr>
          <w:sz w:val="20"/>
          <w:szCs w:val="20"/>
          <w:color w:val="auto"/>
        </w:rPr>
      </w:pPr>
      <w:r>
        <w:rPr>
          <w:rFonts w:ascii="Arial" w:cs="Arial" w:eastAsia="Arial" w:hAnsi="Arial"/>
          <w:sz w:val="15"/>
          <w:szCs w:val="15"/>
          <w:i w:val="1"/>
          <w:iCs w:val="1"/>
          <w:color w:val="auto"/>
        </w:rPr>
        <w:t>Liquidation Preference</w:t>
      </w:r>
      <w:r>
        <w:rPr>
          <w:rFonts w:ascii="Arial" w:cs="Arial" w:eastAsia="Arial" w:hAnsi="Arial"/>
          <w:sz w:val="15"/>
          <w:szCs w:val="15"/>
          <w:color w:val="auto"/>
        </w:rPr>
        <w:t>. Upon any voluntary or involuntary liquidation, dissolution or winding up of</w:t>
      </w:r>
      <w:r>
        <w:rPr>
          <w:rFonts w:ascii="Arial" w:cs="Arial" w:eastAsia="Arial" w:hAnsi="Arial"/>
          <w:sz w:val="15"/>
          <w:szCs w:val="15"/>
          <w:i w:val="1"/>
          <w:iCs w:val="1"/>
          <w:color w:val="auto"/>
        </w:rPr>
        <w:t xml:space="preserve"> </w:t>
      </w:r>
      <w:r>
        <w:rPr>
          <w:rFonts w:ascii="Arial" w:cs="Arial" w:eastAsia="Arial" w:hAnsi="Arial"/>
          <w:sz w:val="15"/>
          <w:szCs w:val="15"/>
          <w:color w:val="auto"/>
        </w:rPr>
        <w:t>our affairs, then, before we make any distribution or 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 the prospectus supplement, plus any accrued and unpaid dividends thereon. Such dividends will not include any accumulation in respect of unpaid noncumulative dividends for prior dividend periods. Unless otherwise specified in the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will share ratably in any such distribution of assets in proportion to the full liquidating distributions to which they would otherwise be entitled.</w:t>
      </w:r>
    </w:p>
    <w:p>
      <w:pPr>
        <w:spacing w:after="0" w:line="274" w:lineRule="exact"/>
        <w:rPr>
          <w:sz w:val="20"/>
          <w:szCs w:val="20"/>
          <w:color w:val="auto"/>
        </w:rPr>
      </w:pPr>
    </w:p>
    <w:p>
      <w:pPr>
        <w:ind w:left="1160" w:right="739" w:firstLine="331"/>
        <w:spacing w:after="0" w:line="232" w:lineRule="auto"/>
        <w:rPr>
          <w:sz w:val="20"/>
          <w:szCs w:val="20"/>
          <w:color w:val="auto"/>
        </w:rPr>
      </w:pPr>
      <w:r>
        <w:rPr>
          <w:rFonts w:ascii="Arial" w:cs="Arial" w:eastAsia="Arial" w:hAnsi="Arial"/>
          <w:sz w:val="17"/>
          <w:szCs w:val="17"/>
          <w:color w:val="auto"/>
        </w:rPr>
        <w:t>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w:t>
      </w:r>
    </w:p>
    <w:p>
      <w:pPr>
        <w:spacing w:after="0" w:line="116" w:lineRule="exact"/>
        <w:rPr>
          <w:sz w:val="20"/>
          <w:szCs w:val="20"/>
          <w:color w:val="auto"/>
        </w:rPr>
      </w:pPr>
    </w:p>
    <w:p>
      <w:pPr>
        <w:jc w:val="both"/>
        <w:ind w:left="1160" w:right="799" w:firstLine="331"/>
        <w:spacing w:after="0" w:line="237" w:lineRule="auto"/>
        <w:rPr>
          <w:sz w:val="20"/>
          <w:szCs w:val="20"/>
          <w:color w:val="auto"/>
        </w:rPr>
      </w:pPr>
      <w:r>
        <w:rPr>
          <w:rFonts w:ascii="Arial" w:cs="Arial" w:eastAsia="Arial" w:hAnsi="Arial"/>
          <w:sz w:val="17"/>
          <w:szCs w:val="17"/>
          <w:i w:val="1"/>
          <w:iCs w:val="1"/>
          <w:color w:val="auto"/>
        </w:rPr>
        <w:t>Redemption</w:t>
      </w:r>
      <w:r>
        <w:rPr>
          <w:rFonts w:ascii="Arial" w:cs="Arial" w:eastAsia="Arial" w:hAnsi="Arial"/>
          <w:sz w:val="17"/>
          <w:szCs w:val="17"/>
          <w:color w:val="auto"/>
        </w:rPr>
        <w:t>. If so provided in the applicable prospectus supplement, the preferred stock will be subject</w:t>
      </w:r>
      <w:r>
        <w:rPr>
          <w:rFonts w:ascii="Arial" w:cs="Arial" w:eastAsia="Arial" w:hAnsi="Arial"/>
          <w:sz w:val="17"/>
          <w:szCs w:val="17"/>
          <w:i w:val="1"/>
          <w:iCs w:val="1"/>
          <w:color w:val="auto"/>
        </w:rPr>
        <w:t xml:space="preserve"> </w:t>
      </w:r>
      <w:r>
        <w:rPr>
          <w:rFonts w:ascii="Arial" w:cs="Arial" w:eastAsia="Arial" w:hAnsi="Arial"/>
          <w:sz w:val="17"/>
          <w:szCs w:val="17"/>
          <w:color w:val="auto"/>
        </w:rPr>
        <w:t>to mandatory redemption or redemption at our option, as a whole or in part, in each case upon the terms, at the times and at the redemption prices set forth in such prospectus supplement.</w:t>
      </w:r>
    </w:p>
    <w:p>
      <w:pPr>
        <w:spacing w:after="0" w:line="339"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225425</wp:posOffset>
            </wp:positionV>
            <wp:extent cx="6271260"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9">
                      <a:extLst>
                        <a:ext uri="{28A0092B-C50C-407E-A947-70E740481C1C}"/>
                      </a:extLst>
                    </a:blip>
                    <a:srcRect/>
                    <a:stretch>
                      <a:fillRect/>
                    </a:stretch>
                  </pic:blipFill>
                  <pic:spPr bwMode="auto">
                    <a:xfrm>
                      <a:off x="0" y="0"/>
                      <a:ext cx="6271260" cy="41275"/>
                    </a:xfrm>
                    <a:prstGeom prst="rect">
                      <a:avLst/>
                    </a:prstGeom>
                    <a:noFill/>
                  </pic:spPr>
                </pic:pic>
              </a:graphicData>
            </a:graphic>
          </wp:anchor>
        </w:drawing>
      </w:r>
    </w:p>
    <w:p>
      <w:pPr>
        <w:sectPr>
          <w:pgSz w:w="11900" w:h="16838" w:orient="portrait"/>
          <w:cols w:equalWidth="0" w:num="1">
            <w:col w:w="9439"/>
          </w:cols>
          <w:pgMar w:left="1020" w:top="131" w:right="1440" w:bottom="1440" w:gutter="0" w:footer="0" w:header="0"/>
        </w:sectPr>
      </w:pPr>
    </w:p>
    <w:bookmarkStart w:id="20" w:name="page21"/>
    <w:bookmarkEnd w:id="20"/>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160" w:right="799" w:firstLine="331"/>
        <w:spacing w:after="0" w:line="263" w:lineRule="auto"/>
        <w:rPr>
          <w:sz w:val="20"/>
          <w:szCs w:val="20"/>
          <w:color w:val="auto"/>
        </w:rPr>
      </w:pPr>
      <w:r>
        <w:rPr>
          <w:rFonts w:ascii="Arial" w:cs="Arial" w:eastAsia="Arial" w:hAnsi="Arial"/>
          <w:sz w:val="15"/>
          <w:szCs w:val="15"/>
          <w:color w:val="auto"/>
        </w:rPr>
        <w:t>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 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 the applicable shares of our capital stock pursuant to conversion provisions specified in the applicable prospectus supplement. Notwithstanding the foregoing, we will not redeem any preferred stock of a series unless:</w:t>
      </w:r>
    </w:p>
    <w:p>
      <w:pPr>
        <w:spacing w:after="0" w:line="48" w:lineRule="exact"/>
        <w:rPr>
          <w:sz w:val="20"/>
          <w:szCs w:val="20"/>
          <w:color w:val="auto"/>
        </w:rPr>
      </w:pPr>
    </w:p>
    <w:p>
      <w:pPr>
        <w:ind w:left="1640" w:right="1299" w:hanging="156"/>
        <w:spacing w:after="0" w:line="301" w:lineRule="auto"/>
        <w:tabs>
          <w:tab w:leader="none" w:pos="16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if that series of preferred stock has a cumulative dividend, we have declared and paid or contemporaneously declare and pay or set aside funds to pay full cumulative dividends on the preferred stock for all past dividend periods and the then current dividend period; or</w:t>
      </w:r>
    </w:p>
    <w:p>
      <w:pPr>
        <w:spacing w:after="0" w:line="45" w:lineRule="exact"/>
        <w:rPr>
          <w:rFonts w:ascii="Arial" w:cs="Arial" w:eastAsia="Arial" w:hAnsi="Arial"/>
          <w:sz w:val="15"/>
          <w:szCs w:val="15"/>
          <w:color w:val="auto"/>
        </w:rPr>
      </w:pPr>
    </w:p>
    <w:p>
      <w:pPr>
        <w:ind w:left="1640" w:right="919" w:hanging="156"/>
        <w:spacing w:after="0" w:line="252" w:lineRule="auto"/>
        <w:tabs>
          <w:tab w:leader="none" w:pos="1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such series of preferred stock does not have a cumulative dividend, we have declared and paid or contemporaneously declare and pay or set aside funds to pay full dividends for the then current dividend period.</w:t>
      </w:r>
    </w:p>
    <w:p>
      <w:pPr>
        <w:spacing w:after="0" w:line="116"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In addition, we will not acquire any preferred stock of a series unless:</w:t>
      </w:r>
    </w:p>
    <w:p>
      <w:pPr>
        <w:spacing w:after="0" w:line="90" w:lineRule="exact"/>
        <w:rPr>
          <w:sz w:val="20"/>
          <w:szCs w:val="20"/>
          <w:color w:val="auto"/>
        </w:rPr>
      </w:pPr>
    </w:p>
    <w:p>
      <w:pPr>
        <w:ind w:left="1640" w:right="819" w:hanging="156"/>
        <w:spacing w:after="0" w:line="249" w:lineRule="auto"/>
        <w:tabs>
          <w:tab w:leader="none" w:pos="1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w:t>
      </w:r>
    </w:p>
    <w:p>
      <w:pPr>
        <w:spacing w:after="0" w:line="81" w:lineRule="exact"/>
        <w:rPr>
          <w:rFonts w:ascii="Arial" w:cs="Arial" w:eastAsia="Arial" w:hAnsi="Arial"/>
          <w:sz w:val="17"/>
          <w:szCs w:val="17"/>
          <w:color w:val="auto"/>
        </w:rPr>
      </w:pPr>
    </w:p>
    <w:p>
      <w:pPr>
        <w:ind w:left="1640" w:right="819" w:hanging="156"/>
        <w:spacing w:after="0" w:line="252" w:lineRule="auto"/>
        <w:tabs>
          <w:tab w:leader="none" w:pos="1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that series of preferred stock does not have a cumulative dividend, we have declared and paid or contemporaneously declare and pay or set aside funds to pay full dividends on the preferred stock of such series for the then current dividend period.</w:t>
      </w:r>
    </w:p>
    <w:p>
      <w:pPr>
        <w:spacing w:after="0" w:line="116" w:lineRule="exact"/>
        <w:rPr>
          <w:sz w:val="20"/>
          <w:szCs w:val="20"/>
          <w:color w:val="auto"/>
        </w:rPr>
      </w:pPr>
    </w:p>
    <w:p>
      <w:pPr>
        <w:ind w:left="1160" w:right="979" w:firstLine="331"/>
        <w:spacing w:after="0" w:line="235" w:lineRule="auto"/>
        <w:rPr>
          <w:sz w:val="20"/>
          <w:szCs w:val="20"/>
          <w:color w:val="auto"/>
        </w:rPr>
      </w:pPr>
      <w:r>
        <w:rPr>
          <w:rFonts w:ascii="Arial" w:cs="Arial" w:eastAsia="Arial" w:hAnsi="Arial"/>
          <w:sz w:val="17"/>
          <w:szCs w:val="17"/>
          <w:color w:val="auto"/>
        </w:rPr>
        <w:t>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w:t>
      </w:r>
    </w:p>
    <w:p>
      <w:pPr>
        <w:spacing w:after="0" w:line="115" w:lineRule="exact"/>
        <w:rPr>
          <w:sz w:val="20"/>
          <w:szCs w:val="20"/>
          <w:color w:val="auto"/>
        </w:rPr>
      </w:pPr>
    </w:p>
    <w:p>
      <w:pPr>
        <w:jc w:val="both"/>
        <w:ind w:left="1160" w:right="819" w:firstLine="331"/>
        <w:spacing w:after="0" w:line="234" w:lineRule="auto"/>
        <w:rPr>
          <w:sz w:val="20"/>
          <w:szCs w:val="20"/>
          <w:color w:val="auto"/>
        </w:rPr>
      </w:pPr>
      <w:r>
        <w:rPr>
          <w:rFonts w:ascii="Arial" w:cs="Arial" w:eastAsia="Arial" w:hAnsi="Arial"/>
          <w:sz w:val="17"/>
          <w:szCs w:val="17"/>
          <w:color w:val="auto"/>
        </w:rPr>
        <w:t>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w:t>
      </w:r>
    </w:p>
    <w:p>
      <w:pPr>
        <w:spacing w:after="0" w:line="101" w:lineRule="exact"/>
        <w:rPr>
          <w:sz w:val="20"/>
          <w:szCs w:val="20"/>
          <w:color w:val="auto"/>
        </w:rPr>
      </w:pPr>
    </w:p>
    <w:p>
      <w:pPr>
        <w:ind w:left="1160" w:right="839" w:firstLine="331"/>
        <w:spacing w:after="0" w:line="284" w:lineRule="auto"/>
        <w:rPr>
          <w:sz w:val="20"/>
          <w:szCs w:val="20"/>
          <w:color w:val="auto"/>
        </w:rPr>
      </w:pPr>
      <w:r>
        <w:rPr>
          <w:rFonts w:ascii="Arial" w:cs="Arial" w:eastAsia="Arial" w:hAnsi="Arial"/>
          <w:sz w:val="15"/>
          <w:szCs w:val="15"/>
          <w:color w:val="auto"/>
        </w:rPr>
        <w:t>Unless otherwise specified in the prospectus supplement, we will mail notice of redemption at least 10 days but not more than 60 days before the redemption date to each holder of record of preferred stock to be redeemed at the address shown on our stock transfer books. Each notice shall state:</w:t>
      </w:r>
    </w:p>
    <w:p>
      <w:pPr>
        <w:spacing w:after="0" w:line="45" w:lineRule="exact"/>
        <w:rPr>
          <w:sz w:val="20"/>
          <w:szCs w:val="20"/>
          <w:color w:val="auto"/>
        </w:rPr>
      </w:pPr>
    </w:p>
    <w:p>
      <w:pPr>
        <w:ind w:left="1640" w:hanging="156"/>
        <w:spacing w:after="0"/>
        <w:tabs>
          <w:tab w:leader="none" w:pos="1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redemption date;</w:t>
      </w:r>
    </w:p>
    <w:p>
      <w:pPr>
        <w:spacing w:after="0" w:line="102" w:lineRule="exact"/>
        <w:rPr>
          <w:rFonts w:ascii="Arial" w:cs="Arial" w:eastAsia="Arial" w:hAnsi="Arial"/>
          <w:sz w:val="17"/>
          <w:szCs w:val="17"/>
          <w:color w:val="auto"/>
        </w:rPr>
      </w:pPr>
    </w:p>
    <w:p>
      <w:pPr>
        <w:ind w:left="1640" w:hanging="156"/>
        <w:spacing w:after="0"/>
        <w:tabs>
          <w:tab w:leader="none" w:pos="1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number of shares and series of preferred stock to be redeemed;</w:t>
      </w:r>
    </w:p>
    <w:p>
      <w:pPr>
        <w:spacing w:after="0" w:line="89" w:lineRule="exact"/>
        <w:rPr>
          <w:rFonts w:ascii="Arial" w:cs="Arial" w:eastAsia="Arial" w:hAnsi="Arial"/>
          <w:sz w:val="17"/>
          <w:szCs w:val="17"/>
          <w:color w:val="auto"/>
        </w:rPr>
      </w:pPr>
    </w:p>
    <w:p>
      <w:pPr>
        <w:ind w:left="1640" w:hanging="156"/>
        <w:spacing w:after="0"/>
        <w:tabs>
          <w:tab w:leader="none" w:pos="1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redemption price;</w:t>
      </w:r>
    </w:p>
    <w:p>
      <w:pPr>
        <w:spacing w:after="0" w:line="102" w:lineRule="exact"/>
        <w:rPr>
          <w:rFonts w:ascii="Arial" w:cs="Arial" w:eastAsia="Arial" w:hAnsi="Arial"/>
          <w:sz w:val="17"/>
          <w:szCs w:val="17"/>
          <w:color w:val="auto"/>
        </w:rPr>
      </w:pPr>
    </w:p>
    <w:p>
      <w:pPr>
        <w:ind w:left="1640" w:right="959" w:hanging="156"/>
        <w:spacing w:after="0" w:line="260" w:lineRule="auto"/>
        <w:tabs>
          <w:tab w:leader="none" w:pos="1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place or places where certificates for such preferred stock are to be surrendered for payment of the redemption price;</w:t>
      </w:r>
    </w:p>
    <w:p>
      <w:pPr>
        <w:spacing w:after="0" w:line="72" w:lineRule="exact"/>
        <w:rPr>
          <w:rFonts w:ascii="Arial" w:cs="Arial" w:eastAsia="Arial" w:hAnsi="Arial"/>
          <w:sz w:val="17"/>
          <w:szCs w:val="17"/>
          <w:color w:val="auto"/>
        </w:rPr>
      </w:pPr>
    </w:p>
    <w:p>
      <w:pPr>
        <w:ind w:left="1640" w:hanging="156"/>
        <w:spacing w:after="0"/>
        <w:tabs>
          <w:tab w:leader="none" w:pos="1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that dividends on the shares to be redeemed will cease to accrue on such redemption date;</w:t>
      </w:r>
    </w:p>
    <w:p>
      <w:pPr>
        <w:spacing w:after="0" w:line="102" w:lineRule="exact"/>
        <w:rPr>
          <w:rFonts w:ascii="Arial" w:cs="Arial" w:eastAsia="Arial" w:hAnsi="Arial"/>
          <w:sz w:val="17"/>
          <w:szCs w:val="17"/>
          <w:color w:val="auto"/>
        </w:rPr>
      </w:pPr>
    </w:p>
    <w:p>
      <w:pPr>
        <w:ind w:left="1640" w:hanging="156"/>
        <w:spacing w:after="0"/>
        <w:tabs>
          <w:tab w:leader="none" w:pos="16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date on which the holder’s conversion rights, if any, as to such shares shall terminate; and</w:t>
      </w:r>
    </w:p>
    <w:p>
      <w:pPr>
        <w:spacing w:after="0" w:line="125" w:lineRule="exact"/>
        <w:rPr>
          <w:rFonts w:ascii="Arial" w:cs="Arial" w:eastAsia="Arial" w:hAnsi="Arial"/>
          <w:sz w:val="15"/>
          <w:szCs w:val="15"/>
          <w:color w:val="auto"/>
        </w:rPr>
      </w:pPr>
    </w:p>
    <w:p>
      <w:pPr>
        <w:ind w:left="1640" w:right="999" w:hanging="156"/>
        <w:spacing w:after="0" w:line="260" w:lineRule="auto"/>
        <w:tabs>
          <w:tab w:leader="none" w:pos="1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specific number of shares to be redeemed from each such holder if fewer than all the shares of any series are to be redeemed.</w:t>
      </w:r>
    </w:p>
    <w:p>
      <w:pPr>
        <w:spacing w:after="0" w:line="333"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225425</wp:posOffset>
            </wp:positionV>
            <wp:extent cx="627126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0">
                      <a:extLst>
                        <a:ext uri="{28A0092B-C50C-407E-A947-70E740481C1C}"/>
                      </a:extLst>
                    </a:blip>
                    <a:srcRect/>
                    <a:stretch>
                      <a:fillRect/>
                    </a:stretch>
                  </pic:blipFill>
                  <pic:spPr bwMode="auto">
                    <a:xfrm>
                      <a:off x="0" y="0"/>
                      <a:ext cx="6271260" cy="41275"/>
                    </a:xfrm>
                    <a:prstGeom prst="rect">
                      <a:avLst/>
                    </a:prstGeom>
                    <a:noFill/>
                  </pic:spPr>
                </pic:pic>
              </a:graphicData>
            </a:graphic>
          </wp:anchor>
        </w:drawing>
      </w:r>
    </w:p>
    <w:p>
      <w:pPr>
        <w:sectPr>
          <w:pgSz w:w="11900" w:h="16838" w:orient="portrait"/>
          <w:cols w:equalWidth="0" w:num="1">
            <w:col w:w="9439"/>
          </w:cols>
          <w:pgMar w:left="1020" w:top="131" w:right="1440" w:bottom="1440" w:gutter="0" w:footer="0" w:header="0"/>
        </w:sectPr>
      </w:pPr>
    </w:p>
    <w:bookmarkStart w:id="21" w:name="page22"/>
    <w:bookmarkEnd w:id="21"/>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160" w:right="759" w:firstLine="331"/>
        <w:spacing w:after="0" w:line="235" w:lineRule="auto"/>
        <w:rPr>
          <w:sz w:val="20"/>
          <w:szCs w:val="20"/>
          <w:color w:val="auto"/>
        </w:rPr>
      </w:pPr>
      <w:r>
        <w:rPr>
          <w:rFonts w:ascii="Arial" w:cs="Arial" w:eastAsia="Arial" w:hAnsi="Arial"/>
          <w:sz w:val="17"/>
          <w:szCs w:val="17"/>
          <w:color w:val="auto"/>
        </w:rPr>
        <w:t>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w:t>
      </w:r>
    </w:p>
    <w:p>
      <w:pPr>
        <w:spacing w:after="0" w:line="103" w:lineRule="exact"/>
        <w:rPr>
          <w:sz w:val="20"/>
          <w:szCs w:val="20"/>
          <w:color w:val="auto"/>
        </w:rPr>
      </w:pPr>
    </w:p>
    <w:p>
      <w:pPr>
        <w:ind w:left="1160" w:right="899" w:firstLine="331"/>
        <w:spacing w:after="0" w:line="245"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Holders of preferred stock will not have any voting rights, except as required by law or</w:t>
      </w:r>
      <w:r>
        <w:rPr>
          <w:rFonts w:ascii="Arial" w:cs="Arial" w:eastAsia="Arial" w:hAnsi="Arial"/>
          <w:sz w:val="17"/>
          <w:szCs w:val="17"/>
          <w:i w:val="1"/>
          <w:iCs w:val="1"/>
          <w:color w:val="auto"/>
        </w:rPr>
        <w:t xml:space="preserve"> </w:t>
      </w:r>
      <w:r>
        <w:rPr>
          <w:rFonts w:ascii="Arial" w:cs="Arial" w:eastAsia="Arial" w:hAnsi="Arial"/>
          <w:sz w:val="17"/>
          <w:szCs w:val="17"/>
          <w:color w:val="auto"/>
        </w:rPr>
        <w:t>as indicated in the applicable prospectus supplement.</w:t>
      </w:r>
    </w:p>
    <w:p>
      <w:pPr>
        <w:spacing w:after="0" w:line="109" w:lineRule="exact"/>
        <w:rPr>
          <w:sz w:val="20"/>
          <w:szCs w:val="20"/>
          <w:color w:val="auto"/>
        </w:rPr>
      </w:pPr>
    </w:p>
    <w:p>
      <w:pPr>
        <w:ind w:left="1160" w:right="899" w:firstLine="331"/>
        <w:spacing w:after="0" w:line="269" w:lineRule="auto"/>
        <w:rPr>
          <w:sz w:val="20"/>
          <w:szCs w:val="20"/>
          <w:color w:val="auto"/>
        </w:rPr>
      </w:pPr>
      <w:r>
        <w:rPr>
          <w:rFonts w:ascii="Arial" w:cs="Arial" w:eastAsia="Arial" w:hAnsi="Arial"/>
          <w:sz w:val="15"/>
          <w:szCs w:val="15"/>
          <w:color w:val="auto"/>
        </w:rPr>
        <w:t>Unless otherwise provided for under the terms of any series of preferred stock, no consent or vote of the holders of shares of preferred stock or any series thereof shall be required for any amendment to our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w:t>
      </w:r>
    </w:p>
    <w:p>
      <w:pPr>
        <w:spacing w:after="0" w:line="93" w:lineRule="exact"/>
        <w:rPr>
          <w:sz w:val="20"/>
          <w:szCs w:val="20"/>
          <w:color w:val="auto"/>
        </w:rPr>
      </w:pPr>
    </w:p>
    <w:p>
      <w:pPr>
        <w:ind w:left="1160" w:right="759" w:firstLine="331"/>
        <w:spacing w:after="0" w:line="232" w:lineRule="auto"/>
        <w:rPr>
          <w:sz w:val="20"/>
          <w:szCs w:val="20"/>
          <w:color w:val="auto"/>
        </w:rPr>
      </w:pPr>
      <w:r>
        <w:rPr>
          <w:rFonts w:ascii="Arial" w:cs="Arial" w:eastAsia="Arial" w:hAnsi="Arial"/>
          <w:sz w:val="17"/>
          <w:szCs w:val="17"/>
          <w:i w:val="1"/>
          <w:iCs w:val="1"/>
          <w:color w:val="auto"/>
        </w:rPr>
        <w:t>Conversion Rights</w:t>
      </w:r>
      <w:r>
        <w:rPr>
          <w:rFonts w:ascii="Arial" w:cs="Arial" w:eastAsia="Arial" w:hAnsi="Arial"/>
          <w:sz w:val="17"/>
          <w:szCs w:val="17"/>
          <w:color w:val="auto"/>
        </w:rPr>
        <w:t>. The terms and conditions, if any, upon which any series of preferred stock is</w:t>
      </w:r>
      <w:r>
        <w:rPr>
          <w:rFonts w:ascii="Arial" w:cs="Arial" w:eastAsia="Arial" w:hAnsi="Arial"/>
          <w:sz w:val="17"/>
          <w:szCs w:val="17"/>
          <w:i w:val="1"/>
          <w:iCs w:val="1"/>
          <w:color w:val="auto"/>
        </w:rPr>
        <w:t xml:space="preserve"> </w:t>
      </w:r>
      <w:r>
        <w:rPr>
          <w:rFonts w:ascii="Arial" w:cs="Arial" w:eastAsia="Arial" w:hAnsi="Arial"/>
          <w:sz w:val="17"/>
          <w:szCs w:val="17"/>
          <w:color w:val="auto"/>
        </w:rPr>
        <w:t>convertible into our common stock will be set forth in the 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w:t>
      </w:r>
    </w:p>
    <w:p>
      <w:pPr>
        <w:spacing w:after="0" w:line="104" w:lineRule="exact"/>
        <w:rPr>
          <w:sz w:val="20"/>
          <w:szCs w:val="20"/>
          <w:color w:val="auto"/>
        </w:rPr>
      </w:pPr>
    </w:p>
    <w:p>
      <w:pPr>
        <w:ind w:left="1160" w:right="919" w:firstLine="331"/>
        <w:spacing w:after="0" w:line="245" w:lineRule="auto"/>
        <w:rPr>
          <w:sz w:val="20"/>
          <w:szCs w:val="20"/>
          <w:color w:val="auto"/>
        </w:rPr>
      </w:pPr>
      <w:r>
        <w:rPr>
          <w:rFonts w:ascii="Arial" w:cs="Arial" w:eastAsia="Arial" w:hAnsi="Arial"/>
          <w:sz w:val="17"/>
          <w:szCs w:val="17"/>
          <w:i w:val="1"/>
          <w:iCs w:val="1"/>
          <w:color w:val="auto"/>
        </w:rPr>
        <w:t>Transfer Agent and Registrar</w:t>
      </w:r>
      <w:r>
        <w:rPr>
          <w:rFonts w:ascii="Arial" w:cs="Arial" w:eastAsia="Arial" w:hAnsi="Arial"/>
          <w:sz w:val="17"/>
          <w:szCs w:val="17"/>
          <w:color w:val="auto"/>
        </w:rPr>
        <w:t>. The transfer agent and registrar for the preferred stock will be set forth</w:t>
      </w:r>
      <w:r>
        <w:rPr>
          <w:rFonts w:ascii="Arial" w:cs="Arial" w:eastAsia="Arial" w:hAnsi="Arial"/>
          <w:sz w:val="17"/>
          <w:szCs w:val="17"/>
          <w:i w:val="1"/>
          <w:iCs w:val="1"/>
          <w:color w:val="auto"/>
        </w:rPr>
        <w:t xml:space="preserve"> </w:t>
      </w:r>
      <w:r>
        <w:rPr>
          <w:rFonts w:ascii="Arial" w:cs="Arial" w:eastAsia="Arial" w:hAnsi="Arial"/>
          <w:sz w:val="17"/>
          <w:szCs w:val="17"/>
          <w:color w:val="auto"/>
        </w:rPr>
        <w:t>in the applicable prospectus supplement.</w:t>
      </w:r>
    </w:p>
    <w:p>
      <w:pPr>
        <w:spacing w:after="0" w:line="167" w:lineRule="exact"/>
        <w:rPr>
          <w:sz w:val="20"/>
          <w:szCs w:val="20"/>
          <w:color w:val="auto"/>
        </w:rPr>
      </w:pPr>
    </w:p>
    <w:p>
      <w:pPr>
        <w:ind w:left="1160" w:right="879"/>
        <w:spacing w:after="0" w:line="250" w:lineRule="auto"/>
        <w:rPr>
          <w:sz w:val="20"/>
          <w:szCs w:val="20"/>
          <w:color w:val="auto"/>
        </w:rPr>
      </w:pPr>
      <w:r>
        <w:rPr>
          <w:rFonts w:ascii="Arial" w:cs="Arial" w:eastAsia="Arial" w:hAnsi="Arial"/>
          <w:sz w:val="17"/>
          <w:szCs w:val="17"/>
          <w:b w:val="1"/>
          <w:bCs w:val="1"/>
          <w:color w:val="auto"/>
        </w:rPr>
        <w:t>Provisions of Our Certificate of Incorporation and By-laws and Delaware Law That May Have Anti-Takeover Effects</w:t>
      </w:r>
    </w:p>
    <w:p>
      <w:pPr>
        <w:spacing w:after="0" w:line="105" w:lineRule="exact"/>
        <w:rPr>
          <w:sz w:val="20"/>
          <w:szCs w:val="20"/>
          <w:color w:val="auto"/>
        </w:rPr>
      </w:pPr>
    </w:p>
    <w:p>
      <w:pPr>
        <w:ind w:left="1160" w:right="799" w:firstLine="331"/>
        <w:spacing w:after="0" w:line="233" w:lineRule="auto"/>
        <w:rPr>
          <w:sz w:val="20"/>
          <w:szCs w:val="20"/>
          <w:color w:val="auto"/>
        </w:rPr>
      </w:pPr>
      <w:r>
        <w:rPr>
          <w:rFonts w:ascii="Arial" w:cs="Arial" w:eastAsia="Arial" w:hAnsi="Arial"/>
          <w:sz w:val="17"/>
          <w:szCs w:val="17"/>
          <w:color w:val="auto"/>
        </w:rPr>
        <w:t>Certain provisions of our certificate of incorporation and bylaws may have the effect of making it more difficult for a third party to acquire, or of discouraging a third party from attempting to acquire, control of us. Such provisions could limit the price that certain investors might be willing to pay in the future for shares of our common stock and may limit the ability of stockholders to remove current management or directors or approve transactions that stockholders may deem to be in their best interest and, therefore, could adversely affect the price of our common stock.</w:t>
      </w:r>
    </w:p>
    <w:p>
      <w:pPr>
        <w:spacing w:after="0" w:line="114" w:lineRule="exact"/>
        <w:rPr>
          <w:sz w:val="20"/>
          <w:szCs w:val="20"/>
          <w:color w:val="auto"/>
        </w:rPr>
      </w:pPr>
    </w:p>
    <w:p>
      <w:pPr>
        <w:ind w:left="1160" w:right="799" w:firstLine="331"/>
        <w:spacing w:after="0" w:line="281" w:lineRule="auto"/>
        <w:rPr>
          <w:sz w:val="20"/>
          <w:szCs w:val="20"/>
          <w:color w:val="auto"/>
        </w:rPr>
      </w:pPr>
      <w:r>
        <w:rPr>
          <w:rFonts w:ascii="Arial" w:cs="Arial" w:eastAsia="Arial" w:hAnsi="Arial"/>
          <w:sz w:val="15"/>
          <w:szCs w:val="15"/>
          <w:i w:val="1"/>
          <w:iCs w:val="1"/>
          <w:color w:val="auto"/>
        </w:rPr>
        <w:t xml:space="preserve">Staggered Board; Removal of Directors. </w:t>
      </w:r>
      <w:r>
        <w:rPr>
          <w:rFonts w:ascii="Arial" w:cs="Arial" w:eastAsia="Arial" w:hAnsi="Arial"/>
          <w:sz w:val="15"/>
          <w:szCs w:val="15"/>
          <w:color w:val="auto"/>
        </w:rPr>
        <w:t>Our certificate of incorporation and our bylaws divide our</w:t>
      </w:r>
      <w:r>
        <w:rPr>
          <w:rFonts w:ascii="Arial" w:cs="Arial" w:eastAsia="Arial" w:hAnsi="Arial"/>
          <w:sz w:val="15"/>
          <w:szCs w:val="15"/>
          <w:i w:val="1"/>
          <w:iCs w:val="1"/>
          <w:color w:val="auto"/>
        </w:rPr>
        <w:t xml:space="preserve"> </w:t>
      </w:r>
      <w:r>
        <w:rPr>
          <w:rFonts w:ascii="Arial" w:cs="Arial" w:eastAsia="Arial" w:hAnsi="Arial"/>
          <w:sz w:val="15"/>
          <w:szCs w:val="15"/>
          <w:color w:val="auto"/>
        </w:rPr>
        <w:t>board of directors into three classes with staggered three-year terms. In addition, our certificate of incorporation and our bylaws provide that directors may be removed only for cause and only by the affirmative vote of the holders of 75% of our shares of capital stock present in person or by proxy and entitled to vote. Under our certificate of incorporation and bylaws, any vacancy on our board of directors, including a vacancy resulting from an enlargement of our board of directors, may be filled only by vote of a majority of our directors then in office. Furthermore, our certificate of incorporation provides that the authorized number of directors may be changed only by the resolution of our board of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our company.</w:t>
      </w:r>
    </w:p>
    <w:p>
      <w:pPr>
        <w:spacing w:after="0" w:line="86" w:lineRule="exact"/>
        <w:rPr>
          <w:sz w:val="20"/>
          <w:szCs w:val="20"/>
          <w:color w:val="auto"/>
        </w:rPr>
      </w:pPr>
    </w:p>
    <w:p>
      <w:pPr>
        <w:ind w:left="1160" w:right="779" w:firstLine="331"/>
        <w:spacing w:after="0" w:line="281" w:lineRule="auto"/>
        <w:rPr>
          <w:sz w:val="20"/>
          <w:szCs w:val="20"/>
          <w:color w:val="auto"/>
        </w:rPr>
      </w:pPr>
      <w:r>
        <w:rPr>
          <w:rFonts w:ascii="Arial" w:cs="Arial" w:eastAsia="Arial" w:hAnsi="Arial"/>
          <w:sz w:val="15"/>
          <w:szCs w:val="15"/>
          <w:i w:val="1"/>
          <w:iCs w:val="1"/>
          <w:color w:val="auto"/>
        </w:rPr>
        <w:t xml:space="preserve">Stockholder Action; Special Meeting of Stockholders; Advance Notice Requirements for Stockholder Proposals and Director Nominations. </w:t>
      </w:r>
      <w:r>
        <w:rPr>
          <w:rFonts w:ascii="Arial" w:cs="Arial" w:eastAsia="Arial" w:hAnsi="Arial"/>
          <w:sz w:val="15"/>
          <w:szCs w:val="15"/>
          <w:color w:val="auto"/>
        </w:rPr>
        <w:t>Our certificate of incorporation and our bylaws provide that any</w:t>
      </w:r>
      <w:r>
        <w:rPr>
          <w:rFonts w:ascii="Arial" w:cs="Arial" w:eastAsia="Arial" w:hAnsi="Arial"/>
          <w:sz w:val="15"/>
          <w:szCs w:val="15"/>
          <w:i w:val="1"/>
          <w:iCs w:val="1"/>
          <w:color w:val="auto"/>
        </w:rPr>
        <w:t xml:space="preserve"> </w:t>
      </w:r>
      <w:r>
        <w:rPr>
          <w:rFonts w:ascii="Arial" w:cs="Arial" w:eastAsia="Arial" w:hAnsi="Arial"/>
          <w:sz w:val="15"/>
          <w:szCs w:val="15"/>
          <w:color w:val="auto"/>
        </w:rPr>
        <w:t>action required or permitted to be taken by our stockholders at an annual meeting or special meeting of stockholders may only be taken if it is properly brought before such meeting and may not be taken by written action in lieu of a meeting. Our certificate of incorporation and our bylaws also provide that, except as otherwise required by law, special meetings of the stockholders can only be called by the chairman of our board of directors, our chief executive officer or our board of directors. In addition, our bylaws establish an 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 notice of meeting or brought</w:t>
      </w:r>
    </w:p>
    <w:p>
      <w:pPr>
        <w:spacing w:after="0" w:line="337"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225425</wp:posOffset>
            </wp:positionV>
            <wp:extent cx="6271260"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1">
                      <a:extLst>
                        <a:ext uri="{28A0092B-C50C-407E-A947-70E740481C1C}"/>
                      </a:extLst>
                    </a:blip>
                    <a:srcRect/>
                    <a:stretch>
                      <a:fillRect/>
                    </a:stretch>
                  </pic:blipFill>
                  <pic:spPr bwMode="auto">
                    <a:xfrm>
                      <a:off x="0" y="0"/>
                      <a:ext cx="6271260" cy="41275"/>
                    </a:xfrm>
                    <a:prstGeom prst="rect">
                      <a:avLst/>
                    </a:prstGeom>
                    <a:noFill/>
                  </pic:spPr>
                </pic:pic>
              </a:graphicData>
            </a:graphic>
          </wp:anchor>
        </w:drawing>
      </w:r>
    </w:p>
    <w:p>
      <w:pPr>
        <w:sectPr>
          <w:pgSz w:w="11900" w:h="16838" w:orient="portrait"/>
          <w:cols w:equalWidth="0" w:num="1">
            <w:col w:w="9439"/>
          </w:cols>
          <w:pgMar w:left="1020" w:top="131" w:right="1440" w:bottom="1440" w:gutter="0" w:footer="0" w:header="0"/>
        </w:sectPr>
      </w:pPr>
    </w:p>
    <w:bookmarkStart w:id="22" w:name="page23"/>
    <w:bookmarkEnd w:id="22"/>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160" w:right="799"/>
        <w:spacing w:after="0" w:line="231" w:lineRule="auto"/>
        <w:rPr>
          <w:sz w:val="20"/>
          <w:szCs w:val="20"/>
          <w:color w:val="auto"/>
        </w:rPr>
      </w:pPr>
      <w:r>
        <w:rPr>
          <w:rFonts w:ascii="Arial" w:cs="Arial" w:eastAsia="Arial" w:hAnsi="Arial"/>
          <w:sz w:val="17"/>
          <w:szCs w:val="17"/>
          <w:color w:val="auto"/>
        </w:rPr>
        <w:t>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it acquired a majority of our outstanding voting stock, it would be able to take action as a stockholder, such as electing new directors or approving a merger, only at a duly called stockholders meeting and not by written consent.</w:t>
      </w:r>
    </w:p>
    <w:p>
      <w:pPr>
        <w:spacing w:after="0" w:line="105" w:lineRule="exact"/>
        <w:rPr>
          <w:sz w:val="20"/>
          <w:szCs w:val="20"/>
          <w:color w:val="auto"/>
        </w:rPr>
      </w:pPr>
    </w:p>
    <w:p>
      <w:pPr>
        <w:ind w:left="1160" w:right="799" w:firstLine="331"/>
        <w:spacing w:after="0" w:line="265" w:lineRule="auto"/>
        <w:rPr>
          <w:sz w:val="20"/>
          <w:szCs w:val="20"/>
          <w:color w:val="auto"/>
        </w:rPr>
      </w:pPr>
      <w:r>
        <w:rPr>
          <w:rFonts w:ascii="Arial" w:cs="Arial" w:eastAsia="Arial" w:hAnsi="Arial"/>
          <w:sz w:val="15"/>
          <w:szCs w:val="15"/>
          <w:i w:val="1"/>
          <w:iCs w:val="1"/>
          <w:color w:val="auto"/>
        </w:rPr>
        <w:t xml:space="preserve">Super- Majority Voting. </w:t>
      </w:r>
      <w:r>
        <w:rPr>
          <w:rFonts w:ascii="Arial" w:cs="Arial" w:eastAsia="Arial" w:hAnsi="Arial"/>
          <w:sz w:val="15"/>
          <w:szCs w:val="15"/>
          <w:color w:val="auto"/>
        </w:rPr>
        <w:t>The General Corporation Law of the State of Delaware, which we refer to as</w:t>
      </w:r>
      <w:r>
        <w:rPr>
          <w:rFonts w:ascii="Arial" w:cs="Arial" w:eastAsia="Arial" w:hAnsi="Arial"/>
          <w:sz w:val="15"/>
          <w:szCs w:val="15"/>
          <w:i w:val="1"/>
          <w:iCs w:val="1"/>
          <w:color w:val="auto"/>
        </w:rPr>
        <w:t xml:space="preserve"> </w:t>
      </w:r>
      <w:r>
        <w:rPr>
          <w:rFonts w:ascii="Arial" w:cs="Arial" w:eastAsia="Arial" w:hAnsi="Arial"/>
          <w:sz w:val="15"/>
          <w:szCs w:val="15"/>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of directors or the affirmative vote of the holders of at least 75% of the votes that all our stockholders would be entitled to cast in any annual election of directors. In addition, the affirmative vote of the holders of at least 75% of the votes that all our stockholders would be entitled to cast in any election of directors is required to amend or repeal or to adopt any provisions inconsistent with any of the provisions of our certificate of incorporation described above.</w:t>
      </w:r>
    </w:p>
    <w:p>
      <w:pPr>
        <w:spacing w:after="0" w:line="97" w:lineRule="exact"/>
        <w:rPr>
          <w:sz w:val="20"/>
          <w:szCs w:val="20"/>
          <w:color w:val="auto"/>
        </w:rPr>
      </w:pPr>
    </w:p>
    <w:p>
      <w:pPr>
        <w:ind w:left="1160" w:right="779" w:firstLine="331"/>
        <w:spacing w:after="0" w:line="269" w:lineRule="auto"/>
        <w:rPr>
          <w:sz w:val="20"/>
          <w:szCs w:val="20"/>
          <w:color w:val="auto"/>
        </w:rPr>
      </w:pPr>
      <w:r>
        <w:rPr>
          <w:rFonts w:ascii="Arial" w:cs="Arial" w:eastAsia="Arial" w:hAnsi="Arial"/>
          <w:sz w:val="15"/>
          <w:szCs w:val="15"/>
          <w:i w:val="1"/>
          <w:iCs w:val="1"/>
          <w:color w:val="auto"/>
        </w:rPr>
        <w:t xml:space="preserve">Authorized but Unissued Shares. </w:t>
      </w:r>
      <w:r>
        <w:rPr>
          <w:rFonts w:ascii="Arial" w:cs="Arial" w:eastAsia="Arial" w:hAnsi="Arial"/>
          <w:sz w:val="15"/>
          <w:szCs w:val="15"/>
          <w:color w:val="auto"/>
        </w:rPr>
        <w:t>Our authorized but unissued shares of our common stock and</w:t>
      </w:r>
      <w:r>
        <w:rPr>
          <w:rFonts w:ascii="Arial" w:cs="Arial" w:eastAsia="Arial" w:hAnsi="Arial"/>
          <w:sz w:val="15"/>
          <w:szCs w:val="15"/>
          <w:i w:val="1"/>
          <w:iCs w:val="1"/>
          <w:color w:val="auto"/>
        </w:rPr>
        <w:t xml:space="preserve"> </w:t>
      </w:r>
      <w:r>
        <w:rPr>
          <w:rFonts w:ascii="Arial" w:cs="Arial" w:eastAsia="Arial" w:hAnsi="Arial"/>
          <w:sz w:val="15"/>
          <w:szCs w:val="15"/>
          <w:color w:val="auto"/>
        </w:rPr>
        <w:t>preferred stock are available for future issuance without stockholder approval, subject to any limitations imposed by the listing standards of The Nasdaq Global Select Market.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93" w:lineRule="exact"/>
        <w:rPr>
          <w:sz w:val="20"/>
          <w:szCs w:val="20"/>
          <w:color w:val="auto"/>
        </w:rPr>
      </w:pPr>
    </w:p>
    <w:p>
      <w:pPr>
        <w:ind w:left="1160" w:right="759" w:firstLine="331"/>
        <w:spacing w:after="0" w:line="262" w:lineRule="auto"/>
        <w:rPr>
          <w:sz w:val="20"/>
          <w:szCs w:val="20"/>
          <w:color w:val="auto"/>
        </w:rPr>
      </w:pPr>
      <w:r>
        <w:rPr>
          <w:rFonts w:ascii="Arial" w:cs="Arial" w:eastAsia="Arial" w:hAnsi="Arial"/>
          <w:sz w:val="15"/>
          <w:szCs w:val="15"/>
          <w:i w:val="1"/>
          <w:iCs w:val="1"/>
          <w:color w:val="auto"/>
        </w:rPr>
        <w:t xml:space="preserve">Delaware Business Combination Statute. </w:t>
      </w:r>
      <w:r>
        <w:rPr>
          <w:rFonts w:ascii="Arial" w:cs="Arial" w:eastAsia="Arial" w:hAnsi="Arial"/>
          <w:sz w:val="15"/>
          <w:szCs w:val="15"/>
          <w:color w:val="auto"/>
        </w:rPr>
        <w:t>We are subject to Section 203 of the DGCL (“Section 203”),</w:t>
      </w:r>
      <w:r>
        <w:rPr>
          <w:rFonts w:ascii="Arial" w:cs="Arial" w:eastAsia="Arial" w:hAnsi="Arial"/>
          <w:sz w:val="15"/>
          <w:szCs w:val="15"/>
          <w:i w:val="1"/>
          <w:iCs w:val="1"/>
          <w:color w:val="auto"/>
        </w:rPr>
        <w:t xml:space="preserve"> </w:t>
      </w:r>
      <w:r>
        <w:rPr>
          <w:rFonts w:ascii="Arial" w:cs="Arial" w:eastAsia="Arial" w:hAnsi="Arial"/>
          <w:sz w:val="15"/>
          <w:szCs w:val="15"/>
          <w:color w:val="auto"/>
        </w:rPr>
        <w:t>which prohibits a Delaware corporation from engaging in business combinations with an interested stockholder. An interested stockholder is generally defined as an entity or person beneficially owning 15% or more of the outstanding voting stock of the corporation or any entity or person affiliated with or controlling or controlled by such entity or person (“interested stockholder”). Section 203 provides that an interested stockholder may not engage in business combinations with the corporation for a period of</w:t>
      </w:r>
    </w:p>
    <w:p>
      <w:pPr>
        <w:spacing w:after="0" w:line="1" w:lineRule="exact"/>
        <w:rPr>
          <w:sz w:val="20"/>
          <w:szCs w:val="20"/>
          <w:color w:val="auto"/>
        </w:rPr>
      </w:pPr>
    </w:p>
    <w:p>
      <w:pPr>
        <w:ind w:left="1160" w:right="1339"/>
        <w:spacing w:after="0" w:line="234" w:lineRule="auto"/>
        <w:rPr>
          <w:sz w:val="20"/>
          <w:szCs w:val="20"/>
          <w:color w:val="auto"/>
        </w:rPr>
      </w:pPr>
      <w:r>
        <w:rPr>
          <w:rFonts w:ascii="Arial" w:cs="Arial" w:eastAsia="Arial" w:hAnsi="Arial"/>
          <w:sz w:val="17"/>
          <w:szCs w:val="17"/>
          <w:color w:val="auto"/>
        </w:rPr>
        <w:t>three years after the date that such stockholder became an interested stockholder, with the following exceptions:</w:t>
      </w:r>
    </w:p>
    <w:p>
      <w:pPr>
        <w:spacing w:after="0" w:line="64" w:lineRule="exact"/>
        <w:rPr>
          <w:sz w:val="20"/>
          <w:szCs w:val="20"/>
          <w:color w:val="auto"/>
        </w:rPr>
      </w:pPr>
    </w:p>
    <w:p>
      <w:pPr>
        <w:ind w:left="1640" w:right="859" w:hanging="156"/>
        <w:spacing w:after="0" w:line="327" w:lineRule="auto"/>
        <w:tabs>
          <w:tab w:leader="none" w:pos="16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before such date, the board of directors of the corporation approved either the business combination or the transaction that resulted in the stockholder becoming an interested stockholder;</w:t>
      </w:r>
    </w:p>
    <w:p>
      <w:pPr>
        <w:spacing w:after="0" w:line="26" w:lineRule="exact"/>
        <w:rPr>
          <w:rFonts w:ascii="Arial" w:cs="Arial" w:eastAsia="Arial" w:hAnsi="Arial"/>
          <w:sz w:val="15"/>
          <w:szCs w:val="15"/>
          <w:color w:val="auto"/>
        </w:rPr>
      </w:pPr>
    </w:p>
    <w:p>
      <w:pPr>
        <w:ind w:left="1640" w:right="779" w:hanging="156"/>
        <w:spacing w:after="0" w:line="284" w:lineRule="auto"/>
        <w:tabs>
          <w:tab w:leader="none" w:pos="16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47" w:lineRule="exact"/>
        <w:rPr>
          <w:rFonts w:ascii="Arial" w:cs="Arial" w:eastAsia="Arial" w:hAnsi="Arial"/>
          <w:sz w:val="15"/>
          <w:szCs w:val="15"/>
          <w:color w:val="auto"/>
        </w:rPr>
      </w:pPr>
    </w:p>
    <w:p>
      <w:pPr>
        <w:ind w:left="1640" w:right="859" w:hanging="156"/>
        <w:spacing w:after="0" w:line="249" w:lineRule="auto"/>
        <w:tabs>
          <w:tab w:leader="none" w:pos="1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1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In general, Section 203 defines business combinations to include the following:</w:t>
      </w:r>
    </w:p>
    <w:p>
      <w:pPr>
        <w:spacing w:after="0" w:line="90" w:lineRule="exact"/>
        <w:rPr>
          <w:sz w:val="20"/>
          <w:szCs w:val="20"/>
          <w:color w:val="auto"/>
        </w:rPr>
      </w:pPr>
    </w:p>
    <w:p>
      <w:pPr>
        <w:ind w:left="1640" w:hanging="156"/>
        <w:spacing w:after="0"/>
        <w:tabs>
          <w:tab w:leader="none" w:pos="1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merger or consolidation involving the corporation and the interested stockholder;</w:t>
      </w:r>
    </w:p>
    <w:p>
      <w:pPr>
        <w:spacing w:after="0" w:line="102" w:lineRule="exact"/>
        <w:rPr>
          <w:rFonts w:ascii="Arial" w:cs="Arial" w:eastAsia="Arial" w:hAnsi="Arial"/>
          <w:sz w:val="17"/>
          <w:szCs w:val="17"/>
          <w:color w:val="auto"/>
        </w:rPr>
      </w:pPr>
    </w:p>
    <w:p>
      <w:pPr>
        <w:ind w:left="1640" w:right="919" w:hanging="156"/>
        <w:spacing w:after="0" w:line="260" w:lineRule="auto"/>
        <w:tabs>
          <w:tab w:leader="none" w:pos="1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sale, lease, transfer, pledge or other disposition of 10% or more of the assets of the corporation to or with the interested stockholder;</w:t>
      </w:r>
    </w:p>
    <w:p>
      <w:pPr>
        <w:spacing w:after="0" w:line="60" w:lineRule="exact"/>
        <w:rPr>
          <w:rFonts w:ascii="Arial" w:cs="Arial" w:eastAsia="Arial" w:hAnsi="Arial"/>
          <w:sz w:val="17"/>
          <w:szCs w:val="17"/>
          <w:color w:val="auto"/>
        </w:rPr>
      </w:pPr>
    </w:p>
    <w:p>
      <w:pPr>
        <w:ind w:left="1640" w:right="1559" w:hanging="156"/>
        <w:spacing w:after="0" w:line="327" w:lineRule="auto"/>
        <w:tabs>
          <w:tab w:leader="none" w:pos="16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subject to certain exceptions, any transaction that results in the issuance or transfer by the corporation of any stock of the corporation to the interested stockholder;</w:t>
      </w:r>
    </w:p>
    <w:p>
      <w:pPr>
        <w:spacing w:after="0" w:line="13" w:lineRule="exact"/>
        <w:rPr>
          <w:rFonts w:ascii="Arial" w:cs="Arial" w:eastAsia="Arial" w:hAnsi="Arial"/>
          <w:sz w:val="15"/>
          <w:szCs w:val="15"/>
          <w:color w:val="auto"/>
        </w:rPr>
      </w:pPr>
    </w:p>
    <w:p>
      <w:pPr>
        <w:jc w:val="both"/>
        <w:ind w:left="1640" w:right="879" w:hanging="156"/>
        <w:spacing w:after="0" w:line="252" w:lineRule="auto"/>
        <w:tabs>
          <w:tab w:leader="none" w:pos="1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transaction involving the corporation that has the effect of increasing the proportionate share of the stock or any class or series of the corporation beneficially owned by the interested stockholder; or</w:t>
      </w:r>
    </w:p>
    <w:p>
      <w:pPr>
        <w:spacing w:after="0" w:line="352"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225425</wp:posOffset>
            </wp:positionV>
            <wp:extent cx="6271260"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a:extLst>
                        <a:ext uri="{28A0092B-C50C-407E-A947-70E740481C1C}"/>
                      </a:extLst>
                    </a:blip>
                    <a:srcRect/>
                    <a:stretch>
                      <a:fillRect/>
                    </a:stretch>
                  </pic:blipFill>
                  <pic:spPr bwMode="auto">
                    <a:xfrm>
                      <a:off x="0" y="0"/>
                      <a:ext cx="6271260" cy="41275"/>
                    </a:xfrm>
                    <a:prstGeom prst="rect">
                      <a:avLst/>
                    </a:prstGeom>
                    <a:noFill/>
                  </pic:spPr>
                </pic:pic>
              </a:graphicData>
            </a:graphic>
          </wp:anchor>
        </w:drawing>
      </w:r>
    </w:p>
    <w:p>
      <w:pPr>
        <w:sectPr>
          <w:pgSz w:w="11900" w:h="16838" w:orient="portrait"/>
          <w:cols w:equalWidth="0" w:num="1">
            <w:col w:w="9439"/>
          </w:cols>
          <w:pgMar w:left="1020" w:top="131" w:right="1440" w:bottom="1440" w:gutter="0" w:footer="0" w:header="0"/>
        </w:sectPr>
      </w:pPr>
    </w:p>
    <w:bookmarkStart w:id="23" w:name="page24"/>
    <w:bookmarkEnd w:id="23"/>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160" w:right="1059" w:firstLine="331"/>
        <w:spacing w:after="0" w:line="260" w:lineRule="auto"/>
        <w:rPr>
          <w:sz w:val="20"/>
          <w:szCs w:val="20"/>
          <w:color w:val="auto"/>
        </w:rPr>
      </w:pPr>
      <w:r>
        <w:rPr>
          <w:rFonts w:ascii="Arial" w:cs="Arial" w:eastAsia="Arial" w:hAnsi="Arial"/>
          <w:sz w:val="17"/>
          <w:szCs w:val="17"/>
          <w:color w:val="auto"/>
        </w:rPr>
        <w:t>the receipt by the interested stockholder of the benefit of any loss, advances, guarantees, pledges or other financial benefits by or through the corporation.</w:t>
      </w:r>
    </w:p>
    <w:p>
      <w:pPr>
        <w:spacing w:after="0" w:line="168" w:lineRule="exact"/>
        <w:rPr>
          <w:sz w:val="20"/>
          <w:szCs w:val="20"/>
          <w:color w:val="auto"/>
        </w:rPr>
      </w:pPr>
    </w:p>
    <w:p>
      <w:pPr>
        <w:ind w:left="1480"/>
        <w:spacing w:after="0"/>
        <w:rPr>
          <w:sz w:val="20"/>
          <w:szCs w:val="20"/>
          <w:color w:val="auto"/>
        </w:rPr>
      </w:pPr>
      <w:r>
        <w:rPr>
          <w:rFonts w:ascii="Arial" w:cs="Arial" w:eastAsia="Arial" w:hAnsi="Arial"/>
          <w:sz w:val="17"/>
          <w:szCs w:val="17"/>
          <w:b w:val="1"/>
          <w:bCs w:val="1"/>
          <w:color w:val="auto"/>
        </w:rPr>
        <w:t>Directors’ Liability</w:t>
      </w:r>
    </w:p>
    <w:p>
      <w:pPr>
        <w:spacing w:after="0" w:line="131" w:lineRule="exact"/>
        <w:rPr>
          <w:sz w:val="20"/>
          <w:szCs w:val="20"/>
          <w:color w:val="auto"/>
        </w:rPr>
      </w:pPr>
    </w:p>
    <w:p>
      <w:pPr>
        <w:ind w:left="1160" w:right="819" w:firstLine="331"/>
        <w:spacing w:after="0" w:line="247" w:lineRule="auto"/>
        <w:rPr>
          <w:sz w:val="20"/>
          <w:szCs w:val="20"/>
          <w:color w:val="auto"/>
        </w:rPr>
      </w:pPr>
      <w:r>
        <w:rPr>
          <w:rFonts w:ascii="Arial" w:cs="Arial" w:eastAsia="Arial" w:hAnsi="Arial"/>
          <w:sz w:val="17"/>
          <w:szCs w:val="17"/>
          <w:color w:val="auto"/>
        </w:rPr>
        <w:t>Our certificate of incorporation limits the personal liability of directors for breach of fiduciary duty to the maximum extent permitted by the Delaware General Corporation Law and provides that no director will have personal liability to us or to our stockholders for monetary damages for breach of fiduciary duty or other duty as a director. However, these provisions do not eliminate or limit the liability of any of our directors:</w:t>
      </w:r>
    </w:p>
    <w:p>
      <w:pPr>
        <w:spacing w:after="0" w:line="86" w:lineRule="exact"/>
        <w:rPr>
          <w:sz w:val="20"/>
          <w:szCs w:val="20"/>
          <w:color w:val="auto"/>
        </w:rPr>
      </w:pPr>
    </w:p>
    <w:p>
      <w:pPr>
        <w:ind w:left="1640" w:hanging="156"/>
        <w:spacing w:after="0"/>
        <w:tabs>
          <w:tab w:leader="none" w:pos="16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for any breach of the director’s duty of loyalty to us or our stockholders;</w:t>
      </w:r>
    </w:p>
    <w:p>
      <w:pPr>
        <w:spacing w:after="0" w:line="102" w:lineRule="exact"/>
        <w:rPr>
          <w:rFonts w:ascii="Arial" w:cs="Arial" w:eastAsia="Arial" w:hAnsi="Arial"/>
          <w:sz w:val="17"/>
          <w:szCs w:val="17"/>
          <w:color w:val="auto"/>
        </w:rPr>
      </w:pPr>
    </w:p>
    <w:p>
      <w:pPr>
        <w:ind w:left="1640" w:right="1359" w:hanging="156"/>
        <w:spacing w:after="0" w:line="260" w:lineRule="auto"/>
        <w:tabs>
          <w:tab w:leader="none" w:pos="16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for acts or omissions not in good faith or which involve intentional misconduct or a knowing violation of law;</w:t>
      </w:r>
    </w:p>
    <w:p>
      <w:pPr>
        <w:spacing w:after="0" w:line="72" w:lineRule="exact"/>
        <w:rPr>
          <w:rFonts w:ascii="Arial" w:cs="Arial" w:eastAsia="Arial" w:hAnsi="Arial"/>
          <w:sz w:val="17"/>
          <w:szCs w:val="17"/>
          <w:color w:val="auto"/>
        </w:rPr>
      </w:pPr>
    </w:p>
    <w:p>
      <w:pPr>
        <w:ind w:left="1640" w:right="899" w:hanging="156"/>
        <w:spacing w:after="0" w:line="260" w:lineRule="auto"/>
        <w:tabs>
          <w:tab w:leader="none" w:pos="16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for voting or assenting to unlawful payments of dividends, stock repurchases or other distributions; or</w:t>
      </w:r>
    </w:p>
    <w:p>
      <w:pPr>
        <w:spacing w:after="0" w:line="72" w:lineRule="exact"/>
        <w:rPr>
          <w:rFonts w:ascii="Arial" w:cs="Arial" w:eastAsia="Arial" w:hAnsi="Arial"/>
          <w:sz w:val="17"/>
          <w:szCs w:val="17"/>
          <w:color w:val="auto"/>
        </w:rPr>
      </w:pPr>
    </w:p>
    <w:p>
      <w:pPr>
        <w:ind w:left="1640" w:hanging="156"/>
        <w:spacing w:after="0"/>
        <w:tabs>
          <w:tab w:leader="none" w:pos="16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for any transaction from which the director derived an improper personal benefit.</w:t>
      </w:r>
    </w:p>
    <w:p>
      <w:pPr>
        <w:spacing w:after="0" w:line="139" w:lineRule="exact"/>
        <w:rPr>
          <w:sz w:val="20"/>
          <w:szCs w:val="20"/>
          <w:color w:val="auto"/>
        </w:rPr>
      </w:pPr>
    </w:p>
    <w:p>
      <w:pPr>
        <w:ind w:left="1160" w:right="759" w:firstLine="331"/>
        <w:spacing w:after="0" w:line="247" w:lineRule="auto"/>
        <w:rPr>
          <w:sz w:val="20"/>
          <w:szCs w:val="20"/>
          <w:color w:val="auto"/>
        </w:rPr>
      </w:pPr>
      <w:r>
        <w:rPr>
          <w:rFonts w:ascii="Arial" w:cs="Arial" w:eastAsia="Arial" w:hAnsi="Arial"/>
          <w:sz w:val="17"/>
          <w:szCs w:val="17"/>
          <w:color w:val="auto"/>
        </w:rPr>
        <w:t>Any amendment to or repeal of these provisions will not eliminate or reduce the effect of these provisions in respect of any act, omission or claim that occurred or arose prior to such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23" w:lineRule="exact"/>
        <w:rPr>
          <w:sz w:val="20"/>
          <w:szCs w:val="20"/>
          <w:color w:val="auto"/>
        </w:rPr>
      </w:pPr>
    </w:p>
    <w:p>
      <w:pPr>
        <w:ind w:left="1160" w:right="739" w:firstLine="331"/>
        <w:spacing w:after="0" w:line="252" w:lineRule="auto"/>
        <w:rPr>
          <w:sz w:val="20"/>
          <w:szCs w:val="20"/>
          <w:color w:val="auto"/>
        </w:rPr>
      </w:pPr>
      <w:r>
        <w:rPr>
          <w:rFonts w:ascii="Arial" w:cs="Arial" w:eastAsia="Arial" w:hAnsi="Arial"/>
          <w:sz w:val="17"/>
          <w:szCs w:val="17"/>
          <w:color w:val="auto"/>
        </w:rPr>
        <w:t>Our certificate of incorporation provides that we must indemnify our directors and officers and we must advance expenses, including attorneys’ fees, to our directors and officers in connection with legal proceedings, subject to very limited exceptions.</w:t>
      </w:r>
    </w:p>
    <w:p>
      <w:pPr>
        <w:spacing w:after="0" w:line="104" w:lineRule="exact"/>
        <w:rPr>
          <w:sz w:val="20"/>
          <w:szCs w:val="20"/>
          <w:color w:val="auto"/>
        </w:rPr>
      </w:pPr>
    </w:p>
    <w:p>
      <w:pPr>
        <w:ind w:left="1160" w:right="859" w:firstLine="331"/>
        <w:spacing w:after="0" w:line="284" w:lineRule="auto"/>
        <w:rPr>
          <w:sz w:val="20"/>
          <w:szCs w:val="20"/>
          <w:color w:val="auto"/>
        </w:rPr>
      </w:pPr>
      <w:r>
        <w:rPr>
          <w:rFonts w:ascii="Arial" w:cs="Arial" w:eastAsia="Arial" w:hAnsi="Arial"/>
          <w:sz w:val="15"/>
          <w:szCs w:val="15"/>
          <w:color w:val="auto"/>
        </w:rPr>
        <w:t>We maintain a general liability insurance policy that covers certain liabilities of our directors and officers arising out of claims based on acts or omissions in their capacities as directors or officers. In addition, we have entered into indemnification agreements with our directors and executive officers. These indemnification agreements may require us, among other things, to indemnify each such director or executive officer, as applicable, for some expenses, including attorneys’ fees, judgments, fines and settlement amounts incurred by him or her in any action or proceeding arising out of his or her service as one of our directors or executive officers, as applicable.</w:t>
      </w:r>
    </w:p>
    <w:p>
      <w:pPr>
        <w:spacing w:after="0" w:line="97" w:lineRule="exact"/>
        <w:rPr>
          <w:sz w:val="20"/>
          <w:szCs w:val="20"/>
          <w:color w:val="auto"/>
        </w:rPr>
      </w:pPr>
    </w:p>
    <w:p>
      <w:pPr>
        <w:ind w:left="1160" w:right="759" w:firstLine="331"/>
        <w:spacing w:after="0" w:line="327" w:lineRule="auto"/>
        <w:rPr>
          <w:sz w:val="20"/>
          <w:szCs w:val="20"/>
          <w:color w:val="auto"/>
        </w:rPr>
      </w:pPr>
      <w:r>
        <w:rPr>
          <w:rFonts w:ascii="Arial" w:cs="Arial" w:eastAsia="Arial" w:hAnsi="Arial"/>
          <w:sz w:val="15"/>
          <w:szCs w:val="15"/>
          <w:color w:val="auto"/>
        </w:rPr>
        <w:t>Certain of our non-employee directors may, through their relationships with their employers, be insured or indemnified against certain liabilities incurred in their capacity as members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225425</wp:posOffset>
            </wp:positionV>
            <wp:extent cx="6271260"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
                      <a:extLst>
                        <a:ext uri="{28A0092B-C50C-407E-A947-70E740481C1C}"/>
                      </a:extLst>
                    </a:blip>
                    <a:srcRect/>
                    <a:stretch>
                      <a:fillRect/>
                    </a:stretch>
                  </pic:blipFill>
                  <pic:spPr bwMode="auto">
                    <a:xfrm>
                      <a:off x="0" y="0"/>
                      <a:ext cx="6271260" cy="41275"/>
                    </a:xfrm>
                    <a:prstGeom prst="rect">
                      <a:avLst/>
                    </a:prstGeom>
                    <a:noFill/>
                  </pic:spPr>
                </pic:pic>
              </a:graphicData>
            </a:graphic>
          </wp:anchor>
        </w:drawing>
      </w:r>
    </w:p>
    <w:p>
      <w:pPr>
        <w:sectPr>
          <w:pgSz w:w="11900" w:h="16838" w:orient="portrait"/>
          <w:cols w:equalWidth="0" w:num="1">
            <w:col w:w="9439"/>
          </w:cols>
          <w:pgMar w:left="1020" w:top="131" w:right="1440" w:bottom="1440" w:gutter="0" w:footer="0" w:header="0"/>
        </w:sectPr>
      </w:pPr>
    </w:p>
    <w:bookmarkStart w:id="24" w:name="page25"/>
    <w:bookmarkEnd w:id="24"/>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760"/>
        <w:spacing w:after="0"/>
        <w:rPr>
          <w:sz w:val="20"/>
          <w:szCs w:val="20"/>
          <w:color w:val="auto"/>
        </w:rPr>
      </w:pPr>
      <w:r>
        <w:rPr>
          <w:rFonts w:ascii="Arial" w:cs="Arial" w:eastAsia="Arial" w:hAnsi="Arial"/>
          <w:sz w:val="17"/>
          <w:szCs w:val="17"/>
          <w:b w:val="1"/>
          <w:bCs w:val="1"/>
          <w:color w:val="auto"/>
        </w:rPr>
        <w:t>DESCRIPTION OF WARRANTS</w:t>
      </w:r>
    </w:p>
    <w:p>
      <w:pPr>
        <w:spacing w:after="0" w:line="131" w:lineRule="exact"/>
        <w:rPr>
          <w:sz w:val="20"/>
          <w:szCs w:val="20"/>
          <w:color w:val="auto"/>
        </w:rPr>
      </w:pPr>
    </w:p>
    <w:p>
      <w:pPr>
        <w:ind w:left="1160" w:right="779" w:firstLine="331"/>
        <w:spacing w:after="0" w:line="281" w:lineRule="auto"/>
        <w:rPr>
          <w:sz w:val="20"/>
          <w:szCs w:val="20"/>
          <w:color w:val="auto"/>
        </w:rPr>
      </w:pPr>
      <w:r>
        <w:rPr>
          <w:rFonts w:ascii="Arial" w:cs="Arial" w:eastAsia="Arial" w:hAnsi="Arial"/>
          <w:sz w:val="15"/>
          <w:szCs w:val="15"/>
          <w:color w:val="auto"/>
        </w:rPr>
        <w:t>We may issue warrants to purchase common stock, preferred stock, depositary shares or debt securities. We may offer warrants separately or together with one or more additional warrants, common stock, preferred stock, depositary shares or debt securities, or any combination of those securities in the form</w:t>
      </w:r>
    </w:p>
    <w:p>
      <w:pPr>
        <w:ind w:left="1160" w:right="839"/>
        <w:spacing w:after="0" w:line="244" w:lineRule="auto"/>
        <w:rPr>
          <w:sz w:val="20"/>
          <w:szCs w:val="20"/>
          <w:color w:val="auto"/>
        </w:rPr>
      </w:pPr>
      <w:r>
        <w:rPr>
          <w:rFonts w:ascii="Arial" w:cs="Arial" w:eastAsia="Arial" w:hAnsi="Arial"/>
          <w:sz w:val="17"/>
          <w:szCs w:val="17"/>
          <w:color w:val="auto"/>
        </w:rPr>
        <w:t>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87" w:lineRule="exact"/>
        <w:rPr>
          <w:sz w:val="20"/>
          <w:szCs w:val="20"/>
          <w:color w:val="auto"/>
        </w:rPr>
      </w:pPr>
    </w:p>
    <w:p>
      <w:pPr>
        <w:ind w:left="1640" w:right="919" w:hanging="156"/>
        <w:spacing w:after="0" w:line="260" w:lineRule="auto"/>
        <w:tabs>
          <w:tab w:leader="none" w:pos="1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specific designation and aggregate number of, and the offering price at which we will issue, the warrants;</w:t>
      </w:r>
    </w:p>
    <w:p>
      <w:pPr>
        <w:spacing w:after="0" w:line="72" w:lineRule="exact"/>
        <w:rPr>
          <w:rFonts w:ascii="Arial" w:cs="Arial" w:eastAsia="Arial" w:hAnsi="Arial"/>
          <w:sz w:val="17"/>
          <w:szCs w:val="17"/>
          <w:color w:val="auto"/>
        </w:rPr>
      </w:pPr>
    </w:p>
    <w:p>
      <w:pPr>
        <w:ind w:left="1640" w:hanging="156"/>
        <w:spacing w:after="0"/>
        <w:tabs>
          <w:tab w:leader="none" w:pos="16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currency or currency units in which the offering price, if any, and the exercise price are payable;</w:t>
      </w:r>
    </w:p>
    <w:p>
      <w:pPr>
        <w:spacing w:after="0" w:line="125" w:lineRule="exact"/>
        <w:rPr>
          <w:rFonts w:ascii="Arial" w:cs="Arial" w:eastAsia="Arial" w:hAnsi="Arial"/>
          <w:sz w:val="15"/>
          <w:szCs w:val="15"/>
          <w:color w:val="auto"/>
        </w:rPr>
      </w:pPr>
    </w:p>
    <w:p>
      <w:pPr>
        <w:ind w:left="1640" w:right="819" w:hanging="156"/>
        <w:spacing w:after="0" w:line="252" w:lineRule="auto"/>
        <w:tabs>
          <w:tab w:leader="none" w:pos="1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78" w:lineRule="exact"/>
        <w:rPr>
          <w:rFonts w:ascii="Arial" w:cs="Arial" w:eastAsia="Arial" w:hAnsi="Arial"/>
          <w:sz w:val="17"/>
          <w:szCs w:val="17"/>
          <w:color w:val="auto"/>
        </w:rPr>
      </w:pPr>
    </w:p>
    <w:p>
      <w:pPr>
        <w:ind w:left="1640" w:hanging="156"/>
        <w:spacing w:after="0"/>
        <w:tabs>
          <w:tab w:leader="none" w:pos="1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whether the warrants are to be sold separately or with other securities as parts of units;</w:t>
      </w:r>
    </w:p>
    <w:p>
      <w:pPr>
        <w:spacing w:after="0" w:line="102" w:lineRule="exact"/>
        <w:rPr>
          <w:rFonts w:ascii="Arial" w:cs="Arial" w:eastAsia="Arial" w:hAnsi="Arial"/>
          <w:sz w:val="17"/>
          <w:szCs w:val="17"/>
          <w:color w:val="auto"/>
        </w:rPr>
      </w:pPr>
    </w:p>
    <w:p>
      <w:pPr>
        <w:jc w:val="both"/>
        <w:ind w:left="1640" w:right="759" w:hanging="156"/>
        <w:spacing w:after="0" w:line="252" w:lineRule="auto"/>
        <w:tabs>
          <w:tab w:leader="none" w:pos="1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78" w:lineRule="exact"/>
        <w:rPr>
          <w:rFonts w:ascii="Arial" w:cs="Arial" w:eastAsia="Arial" w:hAnsi="Arial"/>
          <w:sz w:val="17"/>
          <w:szCs w:val="17"/>
          <w:color w:val="auto"/>
        </w:rPr>
      </w:pPr>
    </w:p>
    <w:p>
      <w:pPr>
        <w:ind w:left="1640" w:hanging="156"/>
        <w:spacing w:after="0"/>
        <w:tabs>
          <w:tab w:leader="none" w:pos="1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applicable material U.S. federal income tax consequences;</w:t>
      </w:r>
    </w:p>
    <w:p>
      <w:pPr>
        <w:spacing w:after="0" w:line="102" w:lineRule="exact"/>
        <w:rPr>
          <w:rFonts w:ascii="Arial" w:cs="Arial" w:eastAsia="Arial" w:hAnsi="Arial"/>
          <w:sz w:val="17"/>
          <w:szCs w:val="17"/>
          <w:color w:val="auto"/>
        </w:rPr>
      </w:pPr>
    </w:p>
    <w:p>
      <w:pPr>
        <w:ind w:left="1640" w:right="899" w:hanging="156"/>
        <w:spacing w:after="0" w:line="260" w:lineRule="auto"/>
        <w:tabs>
          <w:tab w:leader="none" w:pos="1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identity of the warrant agent for the warrants and of any other depositaries, execution or paying agents, transfer agents, registrars or other agents;</w:t>
      </w:r>
    </w:p>
    <w:p>
      <w:pPr>
        <w:spacing w:after="0" w:line="72" w:lineRule="exact"/>
        <w:rPr>
          <w:rFonts w:ascii="Arial" w:cs="Arial" w:eastAsia="Arial" w:hAnsi="Arial"/>
          <w:sz w:val="17"/>
          <w:szCs w:val="17"/>
          <w:color w:val="auto"/>
        </w:rPr>
      </w:pPr>
    </w:p>
    <w:p>
      <w:pPr>
        <w:ind w:left="1640" w:right="1319" w:hanging="156"/>
        <w:spacing w:after="0" w:line="260" w:lineRule="auto"/>
        <w:tabs>
          <w:tab w:leader="none" w:pos="1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proposed listing, if any, of the warrants or any securities purchasable upon exercise of the warrants on any securities exchange;</w:t>
      </w:r>
    </w:p>
    <w:p>
      <w:pPr>
        <w:spacing w:after="0" w:line="72" w:lineRule="exact"/>
        <w:rPr>
          <w:rFonts w:ascii="Arial" w:cs="Arial" w:eastAsia="Arial" w:hAnsi="Arial"/>
          <w:sz w:val="17"/>
          <w:szCs w:val="17"/>
          <w:color w:val="auto"/>
        </w:rPr>
      </w:pPr>
    </w:p>
    <w:p>
      <w:pPr>
        <w:ind w:left="1640" w:hanging="156"/>
        <w:spacing w:after="0"/>
        <w:tabs>
          <w:tab w:leader="none" w:pos="1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designation and terms of any equity securities purchasable upon exercise of the warrants;</w:t>
      </w:r>
    </w:p>
    <w:p>
      <w:pPr>
        <w:spacing w:after="0" w:line="102" w:lineRule="exact"/>
        <w:rPr>
          <w:rFonts w:ascii="Arial" w:cs="Arial" w:eastAsia="Arial" w:hAnsi="Arial"/>
          <w:sz w:val="17"/>
          <w:szCs w:val="17"/>
          <w:color w:val="auto"/>
        </w:rPr>
      </w:pPr>
    </w:p>
    <w:p>
      <w:pPr>
        <w:ind w:left="1640" w:right="959" w:hanging="156"/>
        <w:spacing w:after="0" w:line="260" w:lineRule="auto"/>
        <w:tabs>
          <w:tab w:leader="none" w:pos="1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designation, aggregate principal amount, currency and terms of any debt securities that may be purchased upon exercise of the warrants;</w:t>
      </w:r>
    </w:p>
    <w:p>
      <w:pPr>
        <w:spacing w:after="0" w:line="72" w:lineRule="exact"/>
        <w:rPr>
          <w:rFonts w:ascii="Arial" w:cs="Arial" w:eastAsia="Arial" w:hAnsi="Arial"/>
          <w:sz w:val="17"/>
          <w:szCs w:val="17"/>
          <w:color w:val="auto"/>
        </w:rPr>
      </w:pPr>
    </w:p>
    <w:p>
      <w:pPr>
        <w:ind w:left="1640" w:right="1019" w:hanging="156"/>
        <w:spacing w:after="0" w:line="260" w:lineRule="auto"/>
        <w:tabs>
          <w:tab w:leader="none" w:pos="1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if applicable, the designation and terms of the preferred stock or depositary shares with which the warrants are issued and the number of warrants issued with each security;</w:t>
      </w:r>
    </w:p>
    <w:p>
      <w:pPr>
        <w:spacing w:after="0" w:line="72" w:lineRule="exact"/>
        <w:rPr>
          <w:rFonts w:ascii="Arial" w:cs="Arial" w:eastAsia="Arial" w:hAnsi="Arial"/>
          <w:sz w:val="17"/>
          <w:szCs w:val="17"/>
          <w:color w:val="auto"/>
        </w:rPr>
      </w:pPr>
    </w:p>
    <w:p>
      <w:pPr>
        <w:ind w:left="1640" w:right="839" w:hanging="156"/>
        <w:spacing w:after="0" w:line="327" w:lineRule="auto"/>
        <w:tabs>
          <w:tab w:leader="none" w:pos="16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if applicable, the date from and after which any warrants issued as part of a unit and the related debt securities, preferred stock, depositary shares or common stock will be separately transferable;</w:t>
      </w:r>
    </w:p>
    <w:p>
      <w:pPr>
        <w:spacing w:after="0" w:line="26" w:lineRule="exact"/>
        <w:rPr>
          <w:rFonts w:ascii="Arial" w:cs="Arial" w:eastAsia="Arial" w:hAnsi="Arial"/>
          <w:sz w:val="15"/>
          <w:szCs w:val="15"/>
          <w:color w:val="auto"/>
        </w:rPr>
      </w:pPr>
    </w:p>
    <w:p>
      <w:pPr>
        <w:ind w:left="1640" w:right="1279" w:hanging="156"/>
        <w:spacing w:after="0" w:line="327" w:lineRule="auto"/>
        <w:tabs>
          <w:tab w:leader="none" w:pos="16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number of shares of common stock, preferred stock or depositary shares purchasable upon exercise of a warrant and the price at which those shares may be purchased;</w:t>
      </w:r>
    </w:p>
    <w:p>
      <w:pPr>
        <w:spacing w:after="0" w:line="26" w:lineRule="exact"/>
        <w:rPr>
          <w:rFonts w:ascii="Arial" w:cs="Arial" w:eastAsia="Arial" w:hAnsi="Arial"/>
          <w:sz w:val="15"/>
          <w:szCs w:val="15"/>
          <w:color w:val="auto"/>
        </w:rPr>
      </w:pPr>
    </w:p>
    <w:p>
      <w:pPr>
        <w:ind w:left="1640" w:right="1039" w:hanging="156"/>
        <w:spacing w:after="0" w:line="260" w:lineRule="auto"/>
        <w:tabs>
          <w:tab w:leader="none" w:pos="1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if applicable, the minimum or maximum amount of the warrants that may be exercised at any one time;</w:t>
      </w:r>
    </w:p>
    <w:p>
      <w:pPr>
        <w:spacing w:after="0" w:line="72" w:lineRule="exact"/>
        <w:rPr>
          <w:rFonts w:ascii="Arial" w:cs="Arial" w:eastAsia="Arial" w:hAnsi="Arial"/>
          <w:sz w:val="17"/>
          <w:szCs w:val="17"/>
          <w:color w:val="auto"/>
        </w:rPr>
      </w:pPr>
    </w:p>
    <w:p>
      <w:pPr>
        <w:ind w:left="1640" w:hanging="156"/>
        <w:spacing w:after="0"/>
        <w:tabs>
          <w:tab w:leader="none" w:pos="1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information with respect to book-entry procedures, if any;</w:t>
      </w:r>
    </w:p>
    <w:p>
      <w:pPr>
        <w:spacing w:after="0" w:line="102" w:lineRule="exact"/>
        <w:rPr>
          <w:rFonts w:ascii="Arial" w:cs="Arial" w:eastAsia="Arial" w:hAnsi="Arial"/>
          <w:sz w:val="17"/>
          <w:szCs w:val="17"/>
          <w:color w:val="auto"/>
        </w:rPr>
      </w:pPr>
    </w:p>
    <w:p>
      <w:pPr>
        <w:ind w:left="1640" w:right="759" w:hanging="156"/>
        <w:spacing w:after="0" w:line="260" w:lineRule="auto"/>
        <w:tabs>
          <w:tab w:leader="none" w:pos="1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anti-dilution provisions of, and other provisions for changes to or adjustment in the exercise price of, the warrants, if any;</w:t>
      </w:r>
    </w:p>
    <w:p>
      <w:pPr>
        <w:spacing w:after="0" w:line="72" w:lineRule="exact"/>
        <w:rPr>
          <w:rFonts w:ascii="Arial" w:cs="Arial" w:eastAsia="Arial" w:hAnsi="Arial"/>
          <w:sz w:val="17"/>
          <w:szCs w:val="17"/>
          <w:color w:val="auto"/>
        </w:rPr>
      </w:pPr>
    </w:p>
    <w:p>
      <w:pPr>
        <w:ind w:left="1640" w:hanging="156"/>
        <w:spacing w:after="0"/>
        <w:tabs>
          <w:tab w:leader="none" w:pos="1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redemption or call provisions; and</w:t>
      </w:r>
    </w:p>
    <w:p>
      <w:pPr>
        <w:spacing w:after="0" w:line="102" w:lineRule="exact"/>
        <w:rPr>
          <w:rFonts w:ascii="Arial" w:cs="Arial" w:eastAsia="Arial" w:hAnsi="Arial"/>
          <w:sz w:val="17"/>
          <w:szCs w:val="17"/>
          <w:color w:val="auto"/>
        </w:rPr>
      </w:pPr>
    </w:p>
    <w:p>
      <w:pPr>
        <w:ind w:left="1640" w:right="1179" w:hanging="156"/>
        <w:spacing w:after="0" w:line="260" w:lineRule="auto"/>
        <w:tabs>
          <w:tab w:leader="none" w:pos="1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additional terms of the warrants, including terms, procedures and limitations relating to the exchange or exercise of the warrants.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225425</wp:posOffset>
            </wp:positionV>
            <wp:extent cx="627126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4">
                      <a:extLst>
                        <a:ext uri="{28A0092B-C50C-407E-A947-70E740481C1C}"/>
                      </a:extLst>
                    </a:blip>
                    <a:srcRect/>
                    <a:stretch>
                      <a:fillRect/>
                    </a:stretch>
                  </pic:blipFill>
                  <pic:spPr bwMode="auto">
                    <a:xfrm>
                      <a:off x="0" y="0"/>
                      <a:ext cx="6271260" cy="41275"/>
                    </a:xfrm>
                    <a:prstGeom prst="rect">
                      <a:avLst/>
                    </a:prstGeom>
                    <a:noFill/>
                  </pic:spPr>
                </pic:pic>
              </a:graphicData>
            </a:graphic>
          </wp:anchor>
        </w:drawing>
      </w:r>
    </w:p>
    <w:p>
      <w:pPr>
        <w:sectPr>
          <w:pgSz w:w="11900" w:h="16838" w:orient="portrait"/>
          <w:cols w:equalWidth="0" w:num="1">
            <w:col w:w="9439"/>
          </w:cols>
          <w:pgMar w:left="1020" w:top="131" w:right="1440" w:bottom="1440" w:gutter="0" w:footer="0" w:header="0"/>
        </w:sectPr>
      </w:pPr>
    </w:p>
    <w:bookmarkStart w:id="25" w:name="page26"/>
    <w:bookmarkEnd w:id="25"/>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280"/>
        <w:spacing w:after="0"/>
        <w:rPr>
          <w:sz w:val="20"/>
          <w:szCs w:val="20"/>
          <w:color w:val="auto"/>
        </w:rPr>
      </w:pPr>
      <w:r>
        <w:rPr>
          <w:rFonts w:ascii="Arial" w:cs="Arial" w:eastAsia="Arial" w:hAnsi="Arial"/>
          <w:sz w:val="17"/>
          <w:szCs w:val="17"/>
          <w:b w:val="1"/>
          <w:bCs w:val="1"/>
          <w:color w:val="auto"/>
        </w:rPr>
        <w:t>DESCRIPTION OF SUBSCRIPTION RIGHTS</w:t>
      </w:r>
    </w:p>
    <w:p>
      <w:pPr>
        <w:spacing w:after="0" w:line="131" w:lineRule="exact"/>
        <w:rPr>
          <w:sz w:val="20"/>
          <w:szCs w:val="20"/>
          <w:color w:val="auto"/>
        </w:rPr>
      </w:pPr>
    </w:p>
    <w:p>
      <w:pPr>
        <w:ind w:left="1160" w:right="779" w:firstLine="331"/>
        <w:spacing w:after="0" w:line="283" w:lineRule="auto"/>
        <w:rPr>
          <w:sz w:val="20"/>
          <w:szCs w:val="20"/>
          <w:color w:val="auto"/>
        </w:rPr>
      </w:pPr>
      <w:r>
        <w:rPr>
          <w:rFonts w:ascii="Arial" w:cs="Arial" w:eastAsia="Arial" w:hAnsi="Arial"/>
          <w:sz w:val="15"/>
          <w:szCs w:val="15"/>
          <w:color w:val="auto"/>
        </w:rPr>
        <w:t>The following description of the subscription rights and terms of the subscription rights agreement is a summary. It summarizes only those aspects of the subscription rights and those portions of the subscription rights agreement which we believe will be most important to your decision to invest in our subscription rights. There may be other provisions in the subscription rights agreement and the subscription certificate relating to the subscription rights which are also important to you. You should read these documents for a full description of the terms of the subscription rights. The forms of the subscription rights agreement and the subscription certificate will be filed or incorporated by reference as exhibits to the registration statement of which this prospectus is a part.</w:t>
      </w:r>
    </w:p>
    <w:p>
      <w:pPr>
        <w:spacing w:after="0" w:line="97" w:lineRule="exact"/>
        <w:rPr>
          <w:sz w:val="20"/>
          <w:szCs w:val="20"/>
          <w:color w:val="auto"/>
        </w:rPr>
      </w:pPr>
    </w:p>
    <w:p>
      <w:pPr>
        <w:ind w:left="1160" w:right="999" w:firstLine="331"/>
        <w:spacing w:after="0" w:line="284" w:lineRule="auto"/>
        <w:rPr>
          <w:sz w:val="20"/>
          <w:szCs w:val="20"/>
          <w:color w:val="auto"/>
        </w:rPr>
      </w:pPr>
      <w:r>
        <w:rPr>
          <w:rFonts w:ascii="Arial" w:cs="Arial" w:eastAsia="Arial" w:hAnsi="Arial"/>
          <w:sz w:val="15"/>
          <w:szCs w:val="15"/>
          <w:color w:val="auto"/>
        </w:rPr>
        <w:t>Subscription rights may be issued independently or together with any other security and may or may not be transferable. As part of the rights offering, we may enter into a standby underwriting or other arrangement under which the underwriters or any other person would purchase any securities that are not purchased in such rights offering. If we issue subscription rights, they may be governed by a separate subscription rights agreement that we will sign with a bank or trust company, as rights agent, that will be named in the applicable prospectus supplement. The rights agent will act solely as our agent and will not assume any obligation to any holders of rights certificates or beneficial owners of rights.</w:t>
      </w:r>
    </w:p>
    <w:p>
      <w:pPr>
        <w:spacing w:after="0" w:line="97" w:lineRule="exact"/>
        <w:rPr>
          <w:sz w:val="20"/>
          <w:szCs w:val="20"/>
          <w:color w:val="auto"/>
        </w:rPr>
      </w:pPr>
    </w:p>
    <w:p>
      <w:pPr>
        <w:ind w:left="1160" w:right="799" w:firstLine="331"/>
        <w:spacing w:after="0" w:line="247" w:lineRule="auto"/>
        <w:rPr>
          <w:sz w:val="20"/>
          <w:szCs w:val="20"/>
          <w:color w:val="auto"/>
        </w:rPr>
      </w:pPr>
      <w:r>
        <w:rPr>
          <w:rFonts w:ascii="Arial" w:cs="Arial" w:eastAsia="Arial" w:hAnsi="Arial"/>
          <w:sz w:val="17"/>
          <w:szCs w:val="17"/>
          <w:color w:val="auto"/>
        </w:rPr>
        <w:t>In general, a right entitles the holder to purchase for cash a specific number of shares of equity securities at a specified exercise price. The rights are normally issued to stockholders as of a specific record date, may be exercised only for a limited period of time and become void following the expiration of such period. If we determine to issue subscription rights, we will accompany this prospectus with a prospectus supplement that will describe, among other things:</w:t>
      </w:r>
    </w:p>
    <w:p>
      <w:pPr>
        <w:spacing w:after="0" w:line="86" w:lineRule="exact"/>
        <w:rPr>
          <w:sz w:val="20"/>
          <w:szCs w:val="20"/>
          <w:color w:val="auto"/>
        </w:rPr>
      </w:pPr>
    </w:p>
    <w:p>
      <w:pPr>
        <w:ind w:left="1640" w:hanging="156"/>
        <w:spacing w:after="0"/>
        <w:tabs>
          <w:tab w:leader="none" w:pos="1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record date for stockholders entitled to receive the rights;</w:t>
      </w:r>
    </w:p>
    <w:p>
      <w:pPr>
        <w:spacing w:after="0" w:line="102" w:lineRule="exact"/>
        <w:rPr>
          <w:rFonts w:ascii="Arial" w:cs="Arial" w:eastAsia="Arial" w:hAnsi="Arial"/>
          <w:sz w:val="17"/>
          <w:szCs w:val="17"/>
          <w:color w:val="auto"/>
        </w:rPr>
      </w:pPr>
    </w:p>
    <w:p>
      <w:pPr>
        <w:ind w:left="1640" w:hanging="156"/>
        <w:spacing w:after="0"/>
        <w:tabs>
          <w:tab w:leader="none" w:pos="1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number of equity securities that may be purchased upon exercise of each right;</w:t>
      </w:r>
    </w:p>
    <w:p>
      <w:pPr>
        <w:spacing w:after="0" w:line="102" w:lineRule="exact"/>
        <w:rPr>
          <w:rFonts w:ascii="Arial" w:cs="Arial" w:eastAsia="Arial" w:hAnsi="Arial"/>
          <w:sz w:val="17"/>
          <w:szCs w:val="17"/>
          <w:color w:val="auto"/>
        </w:rPr>
      </w:pPr>
    </w:p>
    <w:p>
      <w:pPr>
        <w:ind w:left="1640" w:hanging="156"/>
        <w:spacing w:after="0"/>
        <w:tabs>
          <w:tab w:leader="none" w:pos="1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exercise price of the rights;</w:t>
      </w:r>
    </w:p>
    <w:p>
      <w:pPr>
        <w:spacing w:after="0" w:line="102" w:lineRule="exact"/>
        <w:rPr>
          <w:rFonts w:ascii="Arial" w:cs="Arial" w:eastAsia="Arial" w:hAnsi="Arial"/>
          <w:sz w:val="17"/>
          <w:szCs w:val="17"/>
          <w:color w:val="auto"/>
        </w:rPr>
      </w:pPr>
    </w:p>
    <w:p>
      <w:pPr>
        <w:ind w:left="1640" w:hanging="156"/>
        <w:spacing w:after="0"/>
        <w:tabs>
          <w:tab w:leader="none" w:pos="1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whether the rights are transferable;</w:t>
      </w:r>
    </w:p>
    <w:p>
      <w:pPr>
        <w:spacing w:after="0" w:line="102" w:lineRule="exact"/>
        <w:rPr>
          <w:rFonts w:ascii="Arial" w:cs="Arial" w:eastAsia="Arial" w:hAnsi="Arial"/>
          <w:sz w:val="17"/>
          <w:szCs w:val="17"/>
          <w:color w:val="auto"/>
        </w:rPr>
      </w:pPr>
    </w:p>
    <w:p>
      <w:pPr>
        <w:ind w:left="1640" w:hanging="156"/>
        <w:spacing w:after="0"/>
        <w:tabs>
          <w:tab w:leader="none" w:pos="1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period during which the rights may be exercised and when they will expire;</w:t>
      </w:r>
    </w:p>
    <w:p>
      <w:pPr>
        <w:spacing w:after="0" w:line="102" w:lineRule="exact"/>
        <w:rPr>
          <w:rFonts w:ascii="Arial" w:cs="Arial" w:eastAsia="Arial" w:hAnsi="Arial"/>
          <w:sz w:val="17"/>
          <w:szCs w:val="17"/>
          <w:color w:val="auto"/>
        </w:rPr>
      </w:pPr>
    </w:p>
    <w:p>
      <w:pPr>
        <w:ind w:left="1640" w:hanging="156"/>
        <w:spacing w:after="0"/>
        <w:tabs>
          <w:tab w:leader="none" w:pos="1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steps required to exercise the rights;</w:t>
      </w:r>
    </w:p>
    <w:p>
      <w:pPr>
        <w:spacing w:after="0" w:line="102" w:lineRule="exact"/>
        <w:rPr>
          <w:rFonts w:ascii="Arial" w:cs="Arial" w:eastAsia="Arial" w:hAnsi="Arial"/>
          <w:sz w:val="17"/>
          <w:szCs w:val="17"/>
          <w:color w:val="auto"/>
        </w:rPr>
      </w:pPr>
    </w:p>
    <w:p>
      <w:pPr>
        <w:ind w:left="1640" w:hanging="156"/>
        <w:spacing w:after="0"/>
        <w:tabs>
          <w:tab w:leader="none" w:pos="1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price, if any, for the subscription rights;</w:t>
      </w:r>
    </w:p>
    <w:p>
      <w:pPr>
        <w:spacing w:after="0" w:line="114" w:lineRule="exact"/>
        <w:rPr>
          <w:rFonts w:ascii="Arial" w:cs="Arial" w:eastAsia="Arial" w:hAnsi="Arial"/>
          <w:sz w:val="17"/>
          <w:szCs w:val="17"/>
          <w:color w:val="auto"/>
        </w:rPr>
      </w:pPr>
    </w:p>
    <w:p>
      <w:pPr>
        <w:ind w:left="1640" w:hanging="156"/>
        <w:spacing w:after="0"/>
        <w:tabs>
          <w:tab w:leader="none" w:pos="1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number of subscription rights issued;</w:t>
      </w:r>
    </w:p>
    <w:p>
      <w:pPr>
        <w:spacing w:after="0" w:line="102" w:lineRule="exact"/>
        <w:rPr>
          <w:rFonts w:ascii="Arial" w:cs="Arial" w:eastAsia="Arial" w:hAnsi="Arial"/>
          <w:sz w:val="17"/>
          <w:szCs w:val="17"/>
          <w:color w:val="auto"/>
        </w:rPr>
      </w:pPr>
    </w:p>
    <w:p>
      <w:pPr>
        <w:ind w:left="1640" w:hanging="156"/>
        <w:spacing w:after="0"/>
        <w:tabs>
          <w:tab w:leader="none" w:pos="1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terms of the equity securities;</w:t>
      </w:r>
    </w:p>
    <w:p>
      <w:pPr>
        <w:spacing w:after="0" w:line="102" w:lineRule="exact"/>
        <w:rPr>
          <w:rFonts w:ascii="Arial" w:cs="Arial" w:eastAsia="Arial" w:hAnsi="Arial"/>
          <w:sz w:val="17"/>
          <w:szCs w:val="17"/>
          <w:color w:val="auto"/>
        </w:rPr>
      </w:pPr>
    </w:p>
    <w:p>
      <w:pPr>
        <w:ind w:left="1640" w:hanging="156"/>
        <w:spacing w:after="0"/>
        <w:tabs>
          <w:tab w:leader="none" w:pos="1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extent to which the subscription rights are transferable;</w:t>
      </w:r>
    </w:p>
    <w:p>
      <w:pPr>
        <w:spacing w:after="0" w:line="102" w:lineRule="exact"/>
        <w:rPr>
          <w:rFonts w:ascii="Arial" w:cs="Arial" w:eastAsia="Arial" w:hAnsi="Arial"/>
          <w:sz w:val="17"/>
          <w:szCs w:val="17"/>
          <w:color w:val="auto"/>
        </w:rPr>
      </w:pPr>
    </w:p>
    <w:p>
      <w:pPr>
        <w:ind w:left="1640" w:right="799" w:hanging="156"/>
        <w:spacing w:after="0" w:line="260" w:lineRule="auto"/>
        <w:tabs>
          <w:tab w:leader="none" w:pos="1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if applicable, the material terms of any standby underwriting or other arrangement entered into by us in connection with the offering of subscription rights;</w:t>
      </w:r>
    </w:p>
    <w:p>
      <w:pPr>
        <w:spacing w:after="0" w:line="72" w:lineRule="exact"/>
        <w:rPr>
          <w:rFonts w:ascii="Arial" w:cs="Arial" w:eastAsia="Arial" w:hAnsi="Arial"/>
          <w:sz w:val="17"/>
          <w:szCs w:val="17"/>
          <w:color w:val="auto"/>
        </w:rPr>
      </w:pPr>
    </w:p>
    <w:p>
      <w:pPr>
        <w:ind w:left="1640" w:right="859" w:hanging="156"/>
        <w:spacing w:after="0" w:line="260" w:lineRule="auto"/>
        <w:tabs>
          <w:tab w:leader="none" w:pos="1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other terms of the subscription rights, including the terms, procedures and limitations relating to the exercise of the subscription rights;</w:t>
      </w:r>
    </w:p>
    <w:p>
      <w:pPr>
        <w:spacing w:after="0" w:line="72" w:lineRule="exact"/>
        <w:rPr>
          <w:rFonts w:ascii="Arial" w:cs="Arial" w:eastAsia="Arial" w:hAnsi="Arial"/>
          <w:sz w:val="17"/>
          <w:szCs w:val="17"/>
          <w:color w:val="auto"/>
        </w:rPr>
      </w:pPr>
    </w:p>
    <w:p>
      <w:pPr>
        <w:ind w:left="1640" w:right="839" w:hanging="156"/>
        <w:spacing w:after="0" w:line="260" w:lineRule="auto"/>
        <w:tabs>
          <w:tab w:leader="none" w:pos="1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whether the rights include “oversubscription rights” so that the holder may purchase more securities if other holders do not purchase their full allotments;</w:t>
      </w:r>
    </w:p>
    <w:p>
      <w:pPr>
        <w:spacing w:after="0" w:line="72" w:lineRule="exact"/>
        <w:rPr>
          <w:rFonts w:ascii="Arial" w:cs="Arial" w:eastAsia="Arial" w:hAnsi="Arial"/>
          <w:sz w:val="17"/>
          <w:szCs w:val="17"/>
          <w:color w:val="auto"/>
        </w:rPr>
      </w:pPr>
    </w:p>
    <w:p>
      <w:pPr>
        <w:ind w:left="1640" w:right="899" w:hanging="156"/>
        <w:spacing w:after="0" w:line="252" w:lineRule="auto"/>
        <w:tabs>
          <w:tab w:leader="none" w:pos="1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whether we intend to sell the shares of equity securities that are not purchased in the rights offering to an underwriter or other purchaser under a contractual “standby” commitment or other arrangement; and</w:t>
      </w:r>
    </w:p>
    <w:p>
      <w:pPr>
        <w:spacing w:after="0" w:line="78" w:lineRule="exact"/>
        <w:rPr>
          <w:rFonts w:ascii="Arial" w:cs="Arial" w:eastAsia="Arial" w:hAnsi="Arial"/>
          <w:sz w:val="17"/>
          <w:szCs w:val="17"/>
          <w:color w:val="auto"/>
        </w:rPr>
      </w:pPr>
    </w:p>
    <w:p>
      <w:pPr>
        <w:ind w:left="1640" w:hanging="156"/>
        <w:spacing w:after="0"/>
        <w:tabs>
          <w:tab w:leader="none" w:pos="1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applicable material United States federal income tax consequences.</w:t>
      </w:r>
    </w:p>
    <w:p>
      <w:pPr>
        <w:spacing w:after="0" w:line="139" w:lineRule="exact"/>
        <w:rPr>
          <w:sz w:val="20"/>
          <w:szCs w:val="20"/>
          <w:color w:val="auto"/>
        </w:rPr>
      </w:pPr>
    </w:p>
    <w:p>
      <w:pPr>
        <w:ind w:left="1160" w:right="759" w:firstLine="331"/>
        <w:spacing w:after="0" w:line="249" w:lineRule="auto"/>
        <w:rPr>
          <w:sz w:val="20"/>
          <w:szCs w:val="20"/>
          <w:color w:val="auto"/>
        </w:rPr>
      </w:pPr>
      <w:r>
        <w:rPr>
          <w:rFonts w:ascii="Arial" w:cs="Arial" w:eastAsia="Arial" w:hAnsi="Arial"/>
          <w:sz w:val="17"/>
          <w:szCs w:val="17"/>
          <w:color w:val="auto"/>
        </w:rPr>
        <w:t>If fewer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342"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225425</wp:posOffset>
            </wp:positionV>
            <wp:extent cx="6271260"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a:extLst>
                        <a:ext uri="{28A0092B-C50C-407E-A947-70E740481C1C}"/>
                      </a:extLst>
                    </a:blip>
                    <a:srcRect/>
                    <a:stretch>
                      <a:fillRect/>
                    </a:stretch>
                  </pic:blipFill>
                  <pic:spPr bwMode="auto">
                    <a:xfrm>
                      <a:off x="0" y="0"/>
                      <a:ext cx="6271260" cy="41275"/>
                    </a:xfrm>
                    <a:prstGeom prst="rect">
                      <a:avLst/>
                    </a:prstGeom>
                    <a:noFill/>
                  </pic:spPr>
                </pic:pic>
              </a:graphicData>
            </a:graphic>
          </wp:anchor>
        </w:drawing>
      </w:r>
    </w:p>
    <w:p>
      <w:pPr>
        <w:sectPr>
          <w:pgSz w:w="11900" w:h="16838" w:orient="portrait"/>
          <w:cols w:equalWidth="0" w:num="1">
            <w:col w:w="9439"/>
          </w:cols>
          <w:pgMar w:left="1020" w:top="131" w:right="1440" w:bottom="1440" w:gutter="0" w:footer="0" w:header="0"/>
        </w:sectPr>
      </w:pPr>
    </w:p>
    <w:bookmarkStart w:id="26" w:name="page27"/>
    <w:bookmarkEnd w:id="26"/>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auto"/>
        </w:rPr>
        <w:t>DESCRIPTION OF DEPOSITARY SHARES</w:t>
      </w:r>
    </w:p>
    <w:p>
      <w:pPr>
        <w:spacing w:after="0" w:line="201"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General</w:t>
      </w:r>
    </w:p>
    <w:p>
      <w:pPr>
        <w:spacing w:after="0" w:line="131" w:lineRule="exact"/>
        <w:rPr>
          <w:sz w:val="20"/>
          <w:szCs w:val="20"/>
          <w:color w:val="auto"/>
        </w:rPr>
      </w:pPr>
    </w:p>
    <w:p>
      <w:pPr>
        <w:ind w:left="1160" w:right="859" w:firstLine="331"/>
        <w:spacing w:after="0" w:line="266" w:lineRule="auto"/>
        <w:rPr>
          <w:sz w:val="20"/>
          <w:szCs w:val="20"/>
          <w:color w:val="auto"/>
        </w:rPr>
      </w:pPr>
      <w:r>
        <w:rPr>
          <w:rFonts w:ascii="Arial" w:cs="Arial" w:eastAsia="Arial" w:hAnsi="Arial"/>
          <w:sz w:val="15"/>
          <w:szCs w:val="15"/>
          <w:color w:val="auto"/>
        </w:rPr>
        <w:t>We may, at our option, elect to offer fractional shares of preferred stock, which we call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95" w:lineRule="exact"/>
        <w:rPr>
          <w:sz w:val="20"/>
          <w:szCs w:val="20"/>
          <w:color w:val="auto"/>
        </w:rPr>
      </w:pPr>
    </w:p>
    <w:p>
      <w:pPr>
        <w:ind w:left="1160" w:right="959" w:firstLine="331"/>
        <w:spacing w:after="0" w:line="235" w:lineRule="auto"/>
        <w:rPr>
          <w:sz w:val="20"/>
          <w:szCs w:val="20"/>
          <w:color w:val="auto"/>
        </w:rPr>
      </w:pPr>
      <w:r>
        <w:rPr>
          <w:rFonts w:ascii="Arial" w:cs="Arial" w:eastAsia="Arial" w:hAnsi="Arial"/>
          <w:sz w:val="17"/>
          <w:szCs w:val="17"/>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15" w:lineRule="exact"/>
        <w:rPr>
          <w:sz w:val="20"/>
          <w:szCs w:val="20"/>
          <w:color w:val="auto"/>
        </w:rPr>
      </w:pPr>
    </w:p>
    <w:p>
      <w:pPr>
        <w:ind w:left="1160" w:right="1219" w:firstLine="331"/>
        <w:spacing w:after="0" w:line="235" w:lineRule="auto"/>
        <w:rPr>
          <w:sz w:val="20"/>
          <w:szCs w:val="20"/>
          <w:color w:val="auto"/>
        </w:rPr>
      </w:pPr>
      <w:r>
        <w:rPr>
          <w:rFonts w:ascii="Arial" w:cs="Arial" w:eastAsia="Arial" w:hAnsi="Arial"/>
          <w:sz w:val="17"/>
          <w:szCs w:val="17"/>
          <w:color w:val="auto"/>
        </w:rPr>
        <w:t>The depositary shares will be evidenced by depositary receipts issued pursuant to the deposit agreement. Holders of depositary receipts agree to be bound by the deposit agreement, which requires holders to take certain actions such as filing proof of residence with and paying certain charges to the depositary.</w:t>
      </w:r>
    </w:p>
    <w:p>
      <w:pPr>
        <w:spacing w:after="0" w:line="103" w:lineRule="exact"/>
        <w:rPr>
          <w:sz w:val="20"/>
          <w:szCs w:val="20"/>
          <w:color w:val="auto"/>
        </w:rPr>
      </w:pPr>
    </w:p>
    <w:p>
      <w:pPr>
        <w:ind w:left="1160" w:right="819" w:firstLine="331"/>
        <w:spacing w:after="0" w:line="235" w:lineRule="auto"/>
        <w:rPr>
          <w:sz w:val="20"/>
          <w:szCs w:val="20"/>
          <w:color w:val="auto"/>
        </w:rPr>
      </w:pPr>
      <w:r>
        <w:rPr>
          <w:rFonts w:ascii="Arial" w:cs="Arial" w:eastAsia="Arial" w:hAnsi="Arial"/>
          <w:sz w:val="17"/>
          <w:szCs w:val="17"/>
          <w:color w:val="auto"/>
        </w:rPr>
        <w:t>The summary of terms of the depositary shares contained in this prospectus is not a complete description of the terms of the depositary shares. You should refer to the form of the deposit agreement, our certificate of incorporation and the certificate of designation for the applicable series of preferred stock that are, or will be, filed with the SEC.</w:t>
      </w:r>
    </w:p>
    <w:p>
      <w:pPr>
        <w:spacing w:after="0" w:line="173"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Dividends and Other Distributions</w:t>
      </w:r>
    </w:p>
    <w:p>
      <w:pPr>
        <w:spacing w:after="0" w:line="143" w:lineRule="exact"/>
        <w:rPr>
          <w:sz w:val="20"/>
          <w:szCs w:val="20"/>
          <w:color w:val="auto"/>
        </w:rPr>
      </w:pPr>
    </w:p>
    <w:p>
      <w:pPr>
        <w:ind w:left="1160" w:right="899" w:firstLine="331"/>
        <w:spacing w:after="0" w:line="234" w:lineRule="auto"/>
        <w:rPr>
          <w:sz w:val="20"/>
          <w:szCs w:val="20"/>
          <w:color w:val="auto"/>
        </w:rPr>
      </w:pPr>
      <w:r>
        <w:rPr>
          <w:rFonts w:ascii="Arial" w:cs="Arial" w:eastAsia="Arial" w:hAnsi="Arial"/>
          <w:sz w:val="17"/>
          <w:szCs w:val="17"/>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114" w:lineRule="exact"/>
        <w:rPr>
          <w:sz w:val="20"/>
          <w:szCs w:val="20"/>
          <w:color w:val="auto"/>
        </w:rPr>
      </w:pPr>
    </w:p>
    <w:p>
      <w:pPr>
        <w:ind w:left="1160" w:right="819" w:firstLine="331"/>
        <w:spacing w:after="0" w:line="234" w:lineRule="auto"/>
        <w:rPr>
          <w:sz w:val="20"/>
          <w:szCs w:val="20"/>
          <w:color w:val="auto"/>
        </w:rPr>
      </w:pPr>
      <w:r>
        <w:rPr>
          <w:rFonts w:ascii="Arial" w:cs="Arial" w:eastAsia="Arial" w:hAnsi="Arial"/>
          <w:sz w:val="17"/>
          <w:szCs w:val="17"/>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172"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Liquidation Preference</w:t>
      </w:r>
    </w:p>
    <w:p>
      <w:pPr>
        <w:spacing w:after="0" w:line="131" w:lineRule="exact"/>
        <w:rPr>
          <w:sz w:val="20"/>
          <w:szCs w:val="20"/>
          <w:color w:val="auto"/>
        </w:rPr>
      </w:pPr>
    </w:p>
    <w:p>
      <w:pPr>
        <w:ind w:left="1160" w:right="759" w:firstLine="331"/>
        <w:spacing w:after="0" w:line="275" w:lineRule="auto"/>
        <w:rPr>
          <w:sz w:val="20"/>
          <w:szCs w:val="20"/>
          <w:color w:val="auto"/>
        </w:rPr>
      </w:pPr>
      <w:r>
        <w:rPr>
          <w:rFonts w:ascii="Arial" w:cs="Arial" w:eastAsia="Arial" w:hAnsi="Arial"/>
          <w:sz w:val="15"/>
          <w:szCs w:val="15"/>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Withdrawal of Stock</w:t>
      </w:r>
    </w:p>
    <w:p>
      <w:pPr>
        <w:spacing w:after="0" w:line="143" w:lineRule="exact"/>
        <w:rPr>
          <w:sz w:val="20"/>
          <w:szCs w:val="20"/>
          <w:color w:val="auto"/>
        </w:rPr>
      </w:pPr>
    </w:p>
    <w:p>
      <w:pPr>
        <w:ind w:left="1160" w:right="759" w:firstLine="331"/>
        <w:spacing w:after="0" w:line="264" w:lineRule="auto"/>
        <w:rPr>
          <w:sz w:val="20"/>
          <w:szCs w:val="20"/>
          <w:color w:val="auto"/>
        </w:rPr>
      </w:pPr>
      <w:r>
        <w:rPr>
          <w:rFonts w:ascii="Arial" w:cs="Arial" w:eastAsia="Arial" w:hAnsi="Arial"/>
          <w:sz w:val="15"/>
          <w:szCs w:val="15"/>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pacing w:after="0" w:line="323"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225425</wp:posOffset>
            </wp:positionV>
            <wp:extent cx="627126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extLst>
                    </a:blip>
                    <a:srcRect/>
                    <a:stretch>
                      <a:fillRect/>
                    </a:stretch>
                  </pic:blipFill>
                  <pic:spPr bwMode="auto">
                    <a:xfrm>
                      <a:off x="0" y="0"/>
                      <a:ext cx="6271260" cy="41275"/>
                    </a:xfrm>
                    <a:prstGeom prst="rect">
                      <a:avLst/>
                    </a:prstGeom>
                    <a:noFill/>
                  </pic:spPr>
                </pic:pic>
              </a:graphicData>
            </a:graphic>
          </wp:anchor>
        </w:drawing>
      </w:r>
    </w:p>
    <w:p>
      <w:pPr>
        <w:sectPr>
          <w:pgSz w:w="11900" w:h="16838" w:orient="portrait"/>
          <w:cols w:equalWidth="0" w:num="1">
            <w:col w:w="9439"/>
          </w:cols>
          <w:pgMar w:left="1020" w:top="131" w:right="1440" w:bottom="1440" w:gutter="0" w:footer="0" w:header="0"/>
        </w:sectPr>
      </w:pPr>
    </w:p>
    <w:bookmarkStart w:id="27" w:name="page28"/>
    <w:bookmarkEnd w:id="27"/>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Redemption of Depositary Shares</w:t>
      </w:r>
    </w:p>
    <w:p>
      <w:pPr>
        <w:spacing w:after="0" w:line="131" w:lineRule="exact"/>
        <w:rPr>
          <w:sz w:val="20"/>
          <w:szCs w:val="20"/>
          <w:color w:val="auto"/>
        </w:rPr>
      </w:pPr>
    </w:p>
    <w:p>
      <w:pPr>
        <w:ind w:left="1160" w:right="779" w:firstLine="331"/>
        <w:spacing w:after="0" w:line="282" w:lineRule="auto"/>
        <w:rPr>
          <w:sz w:val="20"/>
          <w:szCs w:val="20"/>
          <w:color w:val="auto"/>
        </w:rPr>
      </w:pPr>
      <w:r>
        <w:rPr>
          <w:rFonts w:ascii="Arial" w:cs="Arial" w:eastAsia="Arial" w:hAnsi="Arial"/>
          <w:sz w:val="15"/>
          <w:szCs w:val="15"/>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98" w:lineRule="exact"/>
        <w:rPr>
          <w:sz w:val="20"/>
          <w:szCs w:val="20"/>
          <w:color w:val="auto"/>
        </w:rPr>
      </w:pPr>
    </w:p>
    <w:p>
      <w:pPr>
        <w:ind w:left="1160" w:right="799" w:firstLine="331"/>
        <w:spacing w:after="0" w:line="247" w:lineRule="auto"/>
        <w:rPr>
          <w:sz w:val="20"/>
          <w:szCs w:val="20"/>
          <w:color w:val="auto"/>
        </w:rPr>
      </w:pPr>
      <w:r>
        <w:rPr>
          <w:rFonts w:ascii="Arial" w:cs="Arial" w:eastAsia="Arial" w:hAnsi="Arial"/>
          <w:sz w:val="17"/>
          <w:szCs w:val="17"/>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181"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Voting the Preferred Stock</w:t>
      </w:r>
    </w:p>
    <w:p>
      <w:pPr>
        <w:spacing w:after="0" w:line="143" w:lineRule="exact"/>
        <w:rPr>
          <w:sz w:val="20"/>
          <w:szCs w:val="20"/>
          <w:color w:val="auto"/>
        </w:rPr>
      </w:pPr>
    </w:p>
    <w:p>
      <w:pPr>
        <w:ind w:left="1160" w:right="759" w:firstLine="331"/>
        <w:spacing w:after="0" w:line="281" w:lineRule="auto"/>
        <w:rPr>
          <w:sz w:val="20"/>
          <w:szCs w:val="20"/>
          <w:color w:val="auto"/>
        </w:rPr>
      </w:pPr>
      <w:r>
        <w:rPr>
          <w:rFonts w:ascii="Arial" w:cs="Arial" w:eastAsia="Arial" w:hAnsi="Arial"/>
          <w:sz w:val="15"/>
          <w:szCs w:val="15"/>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it receives specific instructions from the holders of depositary shares representing that number of shares of preferred stock.</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Charges of Depositary</w:t>
      </w:r>
    </w:p>
    <w:p>
      <w:pPr>
        <w:spacing w:after="0" w:line="131" w:lineRule="exact"/>
        <w:rPr>
          <w:sz w:val="20"/>
          <w:szCs w:val="20"/>
          <w:color w:val="auto"/>
        </w:rPr>
      </w:pPr>
    </w:p>
    <w:p>
      <w:pPr>
        <w:ind w:left="1160" w:right="799" w:firstLine="331"/>
        <w:spacing w:after="0" w:line="282" w:lineRule="auto"/>
        <w:rPr>
          <w:sz w:val="20"/>
          <w:szCs w:val="20"/>
          <w:color w:val="auto"/>
        </w:rPr>
      </w:pPr>
      <w:r>
        <w:rPr>
          <w:rFonts w:ascii="Arial" w:cs="Arial" w:eastAsia="Arial" w:hAnsi="Arial"/>
          <w:sz w:val="15"/>
          <w:szCs w:val="15"/>
          <w:color w:val="auto"/>
        </w:rPr>
        <w:t>We will pay all transfer and other taxes and governmental charges arising solely from the existence of the depositary arrangements. We will pay the charges due to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Amendment and Termination of the Deposit Agreement</w:t>
      </w:r>
    </w:p>
    <w:p>
      <w:pPr>
        <w:spacing w:after="0" w:line="143" w:lineRule="exact"/>
        <w:rPr>
          <w:sz w:val="20"/>
          <w:szCs w:val="20"/>
          <w:color w:val="auto"/>
        </w:rPr>
      </w:pPr>
    </w:p>
    <w:p>
      <w:pPr>
        <w:ind w:left="1160" w:right="759" w:firstLine="331"/>
        <w:spacing w:after="0" w:line="247" w:lineRule="auto"/>
        <w:rPr>
          <w:sz w:val="20"/>
          <w:szCs w:val="20"/>
          <w:color w:val="auto"/>
        </w:rPr>
      </w:pPr>
      <w:r>
        <w:rPr>
          <w:rFonts w:ascii="Arial" w:cs="Arial" w:eastAsia="Arial" w:hAnsi="Arial"/>
          <w:sz w:val="17"/>
          <w:szCs w:val="17"/>
          <w:color w:val="auto"/>
        </w:rPr>
        <w:t>The form of depositary receipt evidencing the depositary shares and any provision of the deposit agreement may be amended by agreement between us and the depositary. However, any amendment that materially and adversely alters the rights of the holders of depositary shares, other than fee changes, will not be effective unless the amendment has been approved by the holders of a majority of the outstanding depositary shares affected by the amendment. The deposit agreement may be terminated by the depositary or us only if:</w:t>
      </w:r>
    </w:p>
    <w:p>
      <w:pPr>
        <w:spacing w:after="0" w:line="83" w:lineRule="exact"/>
        <w:rPr>
          <w:sz w:val="20"/>
          <w:szCs w:val="20"/>
          <w:color w:val="auto"/>
        </w:rPr>
      </w:pPr>
    </w:p>
    <w:p>
      <w:pPr>
        <w:ind w:left="1640" w:hanging="156"/>
        <w:spacing w:after="0"/>
        <w:tabs>
          <w:tab w:leader="none" w:pos="1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all outstanding depositary shares have been redeemed; or</w:t>
      </w:r>
    </w:p>
    <w:p>
      <w:pPr>
        <w:spacing w:after="0" w:line="102" w:lineRule="exact"/>
        <w:rPr>
          <w:rFonts w:ascii="Arial" w:cs="Arial" w:eastAsia="Arial" w:hAnsi="Arial"/>
          <w:sz w:val="17"/>
          <w:szCs w:val="17"/>
          <w:color w:val="auto"/>
        </w:rPr>
      </w:pPr>
    </w:p>
    <w:p>
      <w:pPr>
        <w:ind w:left="1640" w:right="859" w:hanging="156"/>
        <w:spacing w:after="0" w:line="260" w:lineRule="auto"/>
        <w:tabs>
          <w:tab w:leader="none" w:pos="1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there has been a final distribution of the preferred stock in connection with our dissolution and such distribution has been made to all the holders of depositary shares.</w:t>
      </w:r>
    </w:p>
    <w:p>
      <w:pPr>
        <w:spacing w:after="0" w:line="345"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225425</wp:posOffset>
            </wp:positionV>
            <wp:extent cx="6271260"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extLst>
                    </a:blip>
                    <a:srcRect/>
                    <a:stretch>
                      <a:fillRect/>
                    </a:stretch>
                  </pic:blipFill>
                  <pic:spPr bwMode="auto">
                    <a:xfrm>
                      <a:off x="0" y="0"/>
                      <a:ext cx="6271260" cy="41275"/>
                    </a:xfrm>
                    <a:prstGeom prst="rect">
                      <a:avLst/>
                    </a:prstGeom>
                    <a:noFill/>
                  </pic:spPr>
                </pic:pic>
              </a:graphicData>
            </a:graphic>
          </wp:anchor>
        </w:drawing>
      </w:r>
    </w:p>
    <w:p>
      <w:pPr>
        <w:sectPr>
          <w:pgSz w:w="11900" w:h="16838" w:orient="portrait"/>
          <w:cols w:equalWidth="0" w:num="1">
            <w:col w:w="9439"/>
          </w:cols>
          <w:pgMar w:left="1020" w:top="131" w:right="1440" w:bottom="1440" w:gutter="0" w:footer="0" w:header="0"/>
        </w:sectPr>
      </w:pPr>
    </w:p>
    <w:bookmarkStart w:id="28" w:name="page29"/>
    <w:bookmarkEnd w:id="28"/>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Resignation and Removal of Depositary</w:t>
      </w:r>
    </w:p>
    <w:p>
      <w:pPr>
        <w:spacing w:after="0" w:line="131" w:lineRule="exact"/>
        <w:rPr>
          <w:sz w:val="20"/>
          <w:szCs w:val="20"/>
          <w:color w:val="auto"/>
        </w:rPr>
      </w:pPr>
    </w:p>
    <w:p>
      <w:pPr>
        <w:ind w:left="1160" w:right="879" w:firstLine="331"/>
        <w:spacing w:after="0" w:line="286" w:lineRule="auto"/>
        <w:rPr>
          <w:sz w:val="20"/>
          <w:szCs w:val="20"/>
          <w:color w:val="auto"/>
        </w:rPr>
      </w:pPr>
      <w:r>
        <w:rPr>
          <w:rFonts w:ascii="Arial" w:cs="Arial" w:eastAsia="Arial" w:hAnsi="Arial"/>
          <w:sz w:val="15"/>
          <w:szCs w:val="15"/>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Notices</w:t>
      </w:r>
    </w:p>
    <w:p>
      <w:pPr>
        <w:spacing w:after="0" w:line="143" w:lineRule="exact"/>
        <w:rPr>
          <w:sz w:val="20"/>
          <w:szCs w:val="20"/>
          <w:color w:val="auto"/>
        </w:rPr>
      </w:pPr>
    </w:p>
    <w:p>
      <w:pPr>
        <w:ind w:left="1160" w:right="759" w:firstLine="331"/>
        <w:spacing w:after="0" w:line="247" w:lineRule="auto"/>
        <w:rPr>
          <w:sz w:val="20"/>
          <w:szCs w:val="20"/>
          <w:color w:val="auto"/>
        </w:rPr>
      </w:pPr>
      <w:r>
        <w:rPr>
          <w:rFonts w:ascii="Arial" w:cs="Arial" w:eastAsia="Arial" w:hAnsi="Arial"/>
          <w:sz w:val="17"/>
          <w:szCs w:val="17"/>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178"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Limitation of Liability</w:t>
      </w:r>
    </w:p>
    <w:p>
      <w:pPr>
        <w:spacing w:after="0" w:line="143" w:lineRule="exact"/>
        <w:rPr>
          <w:sz w:val="20"/>
          <w:szCs w:val="20"/>
          <w:color w:val="auto"/>
        </w:rPr>
      </w:pPr>
    </w:p>
    <w:p>
      <w:pPr>
        <w:ind w:left="1160" w:right="779" w:firstLine="331"/>
        <w:spacing w:after="0" w:line="283" w:lineRule="auto"/>
        <w:rPr>
          <w:sz w:val="20"/>
          <w:szCs w:val="20"/>
          <w:color w:val="auto"/>
        </w:rPr>
      </w:pPr>
      <w:r>
        <w:rPr>
          <w:rFonts w:ascii="Arial" w:cs="Arial" w:eastAsia="Arial" w:hAnsi="Arial"/>
          <w:sz w:val="15"/>
          <w:szCs w:val="15"/>
          <w:color w:val="auto"/>
        </w:rPr>
        <w:t>Neither we nor the depositary will be liable if either we or it is prevented or delayed by law or any circumstance beyond its control in performing its obligations. Our obligations and those of the depositary will be limited to performance in good faith of our and their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225425</wp:posOffset>
            </wp:positionV>
            <wp:extent cx="6271260"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extLst>
                        <a:ext uri="{28A0092B-C50C-407E-A947-70E740481C1C}"/>
                      </a:extLst>
                    </a:blip>
                    <a:srcRect/>
                    <a:stretch>
                      <a:fillRect/>
                    </a:stretch>
                  </pic:blipFill>
                  <pic:spPr bwMode="auto">
                    <a:xfrm>
                      <a:off x="0" y="0"/>
                      <a:ext cx="6271260" cy="41275"/>
                    </a:xfrm>
                    <a:prstGeom prst="rect">
                      <a:avLst/>
                    </a:prstGeom>
                    <a:noFill/>
                  </pic:spPr>
                </pic:pic>
              </a:graphicData>
            </a:graphic>
          </wp:anchor>
        </w:drawing>
      </w:r>
    </w:p>
    <w:p>
      <w:pPr>
        <w:sectPr>
          <w:pgSz w:w="11900" w:h="16838" w:orient="portrait"/>
          <w:cols w:equalWidth="0" w:num="1">
            <w:col w:w="9439"/>
          </w:cols>
          <w:pgMar w:left="1020" w:top="131" w:right="1440" w:bottom="1440" w:gutter="0" w:footer="0" w:header="0"/>
        </w:sectPr>
      </w:pPr>
    </w:p>
    <w:bookmarkStart w:id="29" w:name="page30"/>
    <w:bookmarkEnd w:id="29"/>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400"/>
        <w:spacing w:after="0"/>
        <w:rPr>
          <w:sz w:val="20"/>
          <w:szCs w:val="20"/>
          <w:color w:val="auto"/>
        </w:rPr>
      </w:pPr>
      <w:r>
        <w:rPr>
          <w:rFonts w:ascii="Arial" w:cs="Arial" w:eastAsia="Arial" w:hAnsi="Arial"/>
          <w:sz w:val="17"/>
          <w:szCs w:val="17"/>
          <w:b w:val="1"/>
          <w:bCs w:val="1"/>
          <w:color w:val="auto"/>
        </w:rPr>
        <w:t>DESCRIPTION OF UNITS</w:t>
      </w:r>
    </w:p>
    <w:p>
      <w:pPr>
        <w:spacing w:after="0" w:line="131" w:lineRule="exact"/>
        <w:rPr>
          <w:sz w:val="20"/>
          <w:szCs w:val="20"/>
          <w:color w:val="auto"/>
        </w:rPr>
      </w:pPr>
    </w:p>
    <w:p>
      <w:pPr>
        <w:ind w:left="1160" w:right="819" w:firstLine="331"/>
        <w:spacing w:after="0" w:line="249" w:lineRule="auto"/>
        <w:rPr>
          <w:sz w:val="20"/>
          <w:szCs w:val="20"/>
          <w:color w:val="auto"/>
        </w:rPr>
      </w:pPr>
      <w:r>
        <w:rPr>
          <w:rFonts w:ascii="Arial" w:cs="Arial" w:eastAsia="Arial" w:hAnsi="Arial"/>
          <w:sz w:val="17"/>
          <w:szCs w:val="17"/>
          <w:color w:val="auto"/>
        </w:rPr>
        <w:t>We may issue units consisting of one or more of the other securities described in this prospectus in any combination, as described in the applicable prospectus supplement. We may issue units in one or more series, which will be described in the applicable prospectus supplement. The applicable prospectus supplement will also describe the following terms of any units:</w:t>
      </w:r>
    </w:p>
    <w:p>
      <w:pPr>
        <w:spacing w:after="0" w:line="82" w:lineRule="exact"/>
        <w:rPr>
          <w:sz w:val="20"/>
          <w:szCs w:val="20"/>
          <w:color w:val="auto"/>
        </w:rPr>
      </w:pPr>
    </w:p>
    <w:p>
      <w:pPr>
        <w:ind w:left="1640" w:right="859" w:hanging="156"/>
        <w:spacing w:after="0" w:line="327" w:lineRule="auto"/>
        <w:tabs>
          <w:tab w:leader="none" w:pos="16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designation and the terms of the units and of the securities constituting the units, including whether and under what circumstances the securities comprising the units may be traded separately;</w:t>
      </w:r>
    </w:p>
    <w:p>
      <w:pPr>
        <w:spacing w:after="0" w:line="26" w:lineRule="exact"/>
        <w:rPr>
          <w:rFonts w:ascii="Arial" w:cs="Arial" w:eastAsia="Arial" w:hAnsi="Arial"/>
          <w:sz w:val="15"/>
          <w:szCs w:val="15"/>
          <w:color w:val="auto"/>
        </w:rPr>
      </w:pPr>
    </w:p>
    <w:p>
      <w:pPr>
        <w:ind w:left="1640" w:right="899" w:hanging="156"/>
        <w:spacing w:after="0" w:line="260" w:lineRule="auto"/>
        <w:tabs>
          <w:tab w:leader="none" w:pos="1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identity of any unit agent for the units, if applicable, and of any other depositaries, execution or paying agents, transfer agents, registrars or other agents;</w:t>
      </w:r>
    </w:p>
    <w:p>
      <w:pPr>
        <w:spacing w:after="0" w:line="72" w:lineRule="exact"/>
        <w:rPr>
          <w:rFonts w:ascii="Arial" w:cs="Arial" w:eastAsia="Arial" w:hAnsi="Arial"/>
          <w:sz w:val="17"/>
          <w:szCs w:val="17"/>
          <w:color w:val="auto"/>
        </w:rPr>
      </w:pPr>
    </w:p>
    <w:p>
      <w:pPr>
        <w:ind w:left="1640" w:hanging="156"/>
        <w:spacing w:after="0"/>
        <w:tabs>
          <w:tab w:leader="none" w:pos="1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additional terms of the governing unit agreement, if applicable;</w:t>
      </w:r>
    </w:p>
    <w:p>
      <w:pPr>
        <w:spacing w:after="0" w:line="102" w:lineRule="exact"/>
        <w:rPr>
          <w:rFonts w:ascii="Arial" w:cs="Arial" w:eastAsia="Arial" w:hAnsi="Arial"/>
          <w:sz w:val="17"/>
          <w:szCs w:val="17"/>
          <w:color w:val="auto"/>
        </w:rPr>
      </w:pPr>
    </w:p>
    <w:p>
      <w:pPr>
        <w:ind w:left="1640" w:right="899" w:hanging="156"/>
        <w:spacing w:after="0" w:line="327" w:lineRule="auto"/>
        <w:tabs>
          <w:tab w:leader="none" w:pos="16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any additional provisions for the issuance, payment, settlement, transfer or exchange of the units or of the debt securities, common stock, preferred stock or warrants constituting the unit; and</w:t>
      </w:r>
    </w:p>
    <w:p>
      <w:pPr>
        <w:spacing w:after="0" w:line="26" w:lineRule="exact"/>
        <w:rPr>
          <w:rFonts w:ascii="Arial" w:cs="Arial" w:eastAsia="Arial" w:hAnsi="Arial"/>
          <w:sz w:val="15"/>
          <w:szCs w:val="15"/>
          <w:color w:val="auto"/>
        </w:rPr>
      </w:pPr>
    </w:p>
    <w:p>
      <w:pPr>
        <w:ind w:left="1640" w:hanging="156"/>
        <w:spacing w:after="0"/>
        <w:tabs>
          <w:tab w:leader="none" w:pos="1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applicable material U.S. federal income tax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225425</wp:posOffset>
            </wp:positionV>
            <wp:extent cx="6271260"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extLst>
                        <a:ext uri="{28A0092B-C50C-407E-A947-70E740481C1C}"/>
                      </a:extLst>
                    </a:blip>
                    <a:srcRect/>
                    <a:stretch>
                      <a:fillRect/>
                    </a:stretch>
                  </pic:blipFill>
                  <pic:spPr bwMode="auto">
                    <a:xfrm>
                      <a:off x="0" y="0"/>
                      <a:ext cx="6271260" cy="41275"/>
                    </a:xfrm>
                    <a:prstGeom prst="rect">
                      <a:avLst/>
                    </a:prstGeom>
                    <a:noFill/>
                  </pic:spPr>
                </pic:pic>
              </a:graphicData>
            </a:graphic>
          </wp:anchor>
        </w:drawing>
      </w:r>
    </w:p>
    <w:p>
      <w:pPr>
        <w:sectPr>
          <w:pgSz w:w="11900" w:h="16838" w:orient="portrait"/>
          <w:cols w:equalWidth="0" w:num="1">
            <w:col w:w="9439"/>
          </w:cols>
          <w:pgMar w:left="1020" w:top="131" w:right="1440" w:bottom="1440" w:gutter="0" w:footer="0" w:header="0"/>
        </w:sectPr>
      </w:pPr>
    </w:p>
    <w:bookmarkStart w:id="30" w:name="page31"/>
    <w:bookmarkEnd w:id="30"/>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FORMS OF SECURITIES</w:t>
      </w:r>
    </w:p>
    <w:p>
      <w:pPr>
        <w:spacing w:after="0" w:line="131" w:lineRule="exact"/>
        <w:rPr>
          <w:sz w:val="20"/>
          <w:szCs w:val="20"/>
          <w:color w:val="auto"/>
        </w:rPr>
      </w:pPr>
    </w:p>
    <w:p>
      <w:pPr>
        <w:ind w:left="1160" w:right="779" w:firstLine="331"/>
        <w:spacing w:after="0" w:line="281" w:lineRule="auto"/>
        <w:rPr>
          <w:sz w:val="20"/>
          <w:szCs w:val="20"/>
          <w:color w:val="auto"/>
        </w:rPr>
      </w:pPr>
      <w:r>
        <w:rPr>
          <w:rFonts w:ascii="Arial" w:cs="Arial" w:eastAsia="Arial" w:hAnsi="Arial"/>
          <w:sz w:val="15"/>
          <w:szCs w:val="15"/>
          <w:color w:val="auto"/>
        </w:rPr>
        <w:t>Each debt security, warrant, subscription right, depositary share and unit will be represented either by a certificate issued in definitive form to a particular investor or by one or more global securities representing the entire issuance of securities. Unless the applicable prospectus supplement provides otherwise,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subscription rights, depositary shares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354"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Global Securities</w:t>
      </w:r>
    </w:p>
    <w:p>
      <w:pPr>
        <w:spacing w:after="0" w:line="143" w:lineRule="exact"/>
        <w:rPr>
          <w:sz w:val="20"/>
          <w:szCs w:val="20"/>
          <w:color w:val="auto"/>
        </w:rPr>
      </w:pPr>
    </w:p>
    <w:p>
      <w:pPr>
        <w:ind w:left="1160" w:right="799" w:firstLine="331"/>
        <w:spacing w:after="0" w:line="283" w:lineRule="auto"/>
        <w:rPr>
          <w:sz w:val="20"/>
          <w:szCs w:val="20"/>
          <w:color w:val="auto"/>
        </w:rPr>
      </w:pPr>
      <w:r>
        <w:rPr>
          <w:rFonts w:ascii="Arial" w:cs="Arial" w:eastAsia="Arial" w:hAnsi="Arial"/>
          <w:sz w:val="15"/>
          <w:szCs w:val="15"/>
          <w:color w:val="auto"/>
        </w:rPr>
        <w:t>We may issue the debt securities of a particular series, warrants, subscription rights, depositary shares and units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w:t>
      </w:r>
    </w:p>
    <w:p>
      <w:pPr>
        <w:spacing w:after="0" w:line="97" w:lineRule="exact"/>
        <w:rPr>
          <w:sz w:val="20"/>
          <w:szCs w:val="20"/>
          <w:color w:val="auto"/>
        </w:rPr>
      </w:pPr>
    </w:p>
    <w:p>
      <w:pPr>
        <w:ind w:left="1160" w:right="879" w:firstLine="331"/>
        <w:spacing w:after="0" w:line="301" w:lineRule="auto"/>
        <w:rPr>
          <w:sz w:val="20"/>
          <w:szCs w:val="20"/>
          <w:color w:val="auto"/>
        </w:rPr>
      </w:pPr>
      <w:r>
        <w:rPr>
          <w:rFonts w:ascii="Arial" w:cs="Arial" w:eastAsia="Arial" w:hAnsi="Arial"/>
          <w:sz w:val="15"/>
          <w:szCs w:val="15"/>
          <w:color w:val="auto"/>
        </w:rPr>
        <w:t>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w:t>
      </w:r>
    </w:p>
    <w:p>
      <w:pPr>
        <w:spacing w:after="0" w:line="70" w:lineRule="exact"/>
        <w:rPr>
          <w:sz w:val="20"/>
          <w:szCs w:val="20"/>
          <w:color w:val="auto"/>
        </w:rPr>
      </w:pPr>
    </w:p>
    <w:p>
      <w:pPr>
        <w:ind w:left="1160" w:right="759" w:firstLine="331"/>
        <w:spacing w:after="0" w:line="281" w:lineRule="auto"/>
        <w:rPr>
          <w:sz w:val="20"/>
          <w:szCs w:val="20"/>
          <w:color w:val="auto"/>
        </w:rPr>
      </w:pPr>
      <w:r>
        <w:rPr>
          <w:rFonts w:ascii="Arial" w:cs="Arial" w:eastAsia="Arial" w:hAnsi="Arial"/>
          <w:sz w:val="15"/>
          <w:szCs w:val="15"/>
          <w:color w:val="auto"/>
        </w:rPr>
        <w:t>Ownership of beneficial interests in a global security will be limited to persons, called participants, that have accounts with the depositary or persons that may hold interests through participants. 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w:t>
      </w:r>
    </w:p>
    <w:p>
      <w:pPr>
        <w:spacing w:after="0" w:line="98" w:lineRule="exact"/>
        <w:rPr>
          <w:sz w:val="20"/>
          <w:szCs w:val="20"/>
          <w:color w:val="auto"/>
        </w:rPr>
      </w:pPr>
    </w:p>
    <w:p>
      <w:pPr>
        <w:ind w:left="1160" w:right="739" w:firstLine="331"/>
        <w:spacing w:after="0" w:line="279" w:lineRule="auto"/>
        <w:rPr>
          <w:sz w:val="20"/>
          <w:szCs w:val="20"/>
          <w:color w:val="auto"/>
        </w:rPr>
      </w:pPr>
      <w:r>
        <w:rPr>
          <w:rFonts w:ascii="Arial" w:cs="Arial" w:eastAsia="Arial" w:hAnsi="Arial"/>
          <w:sz w:val="15"/>
          <w:szCs w:val="15"/>
          <w:color w:val="auto"/>
        </w:rPr>
        <w:t>So long as the depositary, or its nominee, is the registered owner of a global security, that depositary or its nominee, as the case may be, will be considered the sole owner or holder of the securities represented by the global security for all purposes under the applicable indenture, warrant agreement, subscription rights agreement, deposit agreement or unit agreement.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applicable indenture, warrant agreement, subscription rights agreement, deposit agreement or unit agreement. Accordingly, each person owning a beneficial interest in a global security must rely on the procedures of the depositary for that global security and, if that person is not a participant, on the procedures of the participant through which the person owns its interest, to exercise any rights of a holder under the applicable indenture, warrant, agreement, subscription rights agreement, deposit agreement or unit agreement. We understand that under existing industry practices, if we request any action of holders or if an owner of a beneficial interest in a global security desires to give or take any action that a holder is entitled to give or take under the applicable indenture, warrant agreement, subscription rights agreement, deposit agreement or unit agreement, the depositary for the global security would authorize the participants holding the relevant beneficial interests to give or take</w:t>
      </w:r>
    </w:p>
    <w:p>
      <w:pPr>
        <w:spacing w:after="0" w:line="200" w:lineRule="exact"/>
        <w:rPr>
          <w:sz w:val="20"/>
          <w:szCs w:val="20"/>
          <w:color w:val="auto"/>
        </w:rPr>
      </w:pPr>
    </w:p>
    <w:p>
      <w:pPr>
        <w:spacing w:after="0" w:line="325"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225425</wp:posOffset>
            </wp:positionV>
            <wp:extent cx="6271260"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extLst>
                    </a:blip>
                    <a:srcRect/>
                    <a:stretch>
                      <a:fillRect/>
                    </a:stretch>
                  </pic:blipFill>
                  <pic:spPr bwMode="auto">
                    <a:xfrm>
                      <a:off x="0" y="0"/>
                      <a:ext cx="6271260" cy="41275"/>
                    </a:xfrm>
                    <a:prstGeom prst="rect">
                      <a:avLst/>
                    </a:prstGeom>
                    <a:noFill/>
                  </pic:spPr>
                </pic:pic>
              </a:graphicData>
            </a:graphic>
          </wp:anchor>
        </w:drawing>
      </w:r>
    </w:p>
    <w:p>
      <w:pPr>
        <w:sectPr>
          <w:pgSz w:w="11900" w:h="16838" w:orient="portrait"/>
          <w:cols w:equalWidth="0" w:num="1">
            <w:col w:w="9439"/>
          </w:cols>
          <w:pgMar w:left="1020" w:top="131" w:right="1440" w:bottom="1440" w:gutter="0" w:footer="0" w:header="0"/>
        </w:sectPr>
      </w:pPr>
    </w:p>
    <w:bookmarkStart w:id="31" w:name="page32"/>
    <w:bookmarkEnd w:id="31"/>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160" w:right="799"/>
        <w:spacing w:after="0" w:line="327" w:lineRule="auto"/>
        <w:rPr>
          <w:sz w:val="20"/>
          <w:szCs w:val="20"/>
          <w:color w:val="auto"/>
        </w:rPr>
      </w:pPr>
      <w:r>
        <w:rPr>
          <w:rFonts w:ascii="Arial" w:cs="Arial" w:eastAsia="Arial" w:hAnsi="Arial"/>
          <w:sz w:val="15"/>
          <w:szCs w:val="15"/>
          <w:color w:val="auto"/>
        </w:rPr>
        <w:t>that action, and the participants would authorize beneficial owners owning through them to give or take that action or would otherwise act upon the instructions of beneficial owners holding through them.</w:t>
      </w:r>
    </w:p>
    <w:p>
      <w:pPr>
        <w:spacing w:after="0" w:line="51" w:lineRule="exact"/>
        <w:rPr>
          <w:sz w:val="20"/>
          <w:szCs w:val="20"/>
          <w:color w:val="auto"/>
        </w:rPr>
      </w:pPr>
    </w:p>
    <w:p>
      <w:pPr>
        <w:ind w:left="1160" w:right="859" w:firstLine="331"/>
        <w:spacing w:after="0" w:line="246" w:lineRule="auto"/>
        <w:rPr>
          <w:sz w:val="20"/>
          <w:szCs w:val="20"/>
          <w:color w:val="auto"/>
        </w:rPr>
      </w:pPr>
      <w:r>
        <w:rPr>
          <w:rFonts w:ascii="Arial" w:cs="Arial" w:eastAsia="Arial" w:hAnsi="Arial"/>
          <w:sz w:val="17"/>
          <w:szCs w:val="17"/>
          <w:color w:val="auto"/>
        </w:rPr>
        <w:t>Principal, premium, if any, and interest payments on debt securities, and any payments to holders with respect to warrants, subscription rights, depositary shares or units, represented by a global security registered in the name of a depositary or its nominee will be made to the depositary or its nominee, as the case may be, as the registered owner of the global security. None of us, or any trustee, warrant agent, unit agent or other agent of ours, or any agent of any trustee, warrant agent or unit agent will have any responsibility or liability for any aspect of the records relating to payments made on account of beneficial ownership interests in the global security or for maintaining, supervising or reviewing any records relating to those beneficial ownership interests.</w:t>
      </w:r>
    </w:p>
    <w:p>
      <w:pPr>
        <w:spacing w:after="0" w:line="121" w:lineRule="exact"/>
        <w:rPr>
          <w:sz w:val="20"/>
          <w:szCs w:val="20"/>
          <w:color w:val="auto"/>
        </w:rPr>
      </w:pPr>
    </w:p>
    <w:p>
      <w:pPr>
        <w:ind w:left="1160" w:right="799" w:firstLine="331"/>
        <w:spacing w:after="0" w:line="283" w:lineRule="auto"/>
        <w:rPr>
          <w:sz w:val="20"/>
          <w:szCs w:val="20"/>
          <w:color w:val="auto"/>
        </w:rPr>
      </w:pPr>
      <w:r>
        <w:rPr>
          <w:rFonts w:ascii="Arial" w:cs="Arial" w:eastAsia="Arial" w:hAnsi="Arial"/>
          <w:sz w:val="15"/>
          <w:szCs w:val="15"/>
          <w:color w:val="auto"/>
        </w:rPr>
        <w:t>We expect that the depositary for any of the securities represented by a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spacing w:after="0" w:line="97" w:lineRule="exact"/>
        <w:rPr>
          <w:sz w:val="20"/>
          <w:szCs w:val="20"/>
          <w:color w:val="auto"/>
        </w:rPr>
      </w:pPr>
    </w:p>
    <w:p>
      <w:pPr>
        <w:ind w:left="1160" w:right="759" w:firstLine="331"/>
        <w:spacing w:after="0" w:line="282" w:lineRule="auto"/>
        <w:rPr>
          <w:sz w:val="20"/>
          <w:szCs w:val="20"/>
          <w:color w:val="auto"/>
        </w:rPr>
      </w:pPr>
      <w:r>
        <w:rPr>
          <w:rFonts w:ascii="Arial" w:cs="Arial" w:eastAsia="Arial" w:hAnsi="Arial"/>
          <w:sz w:val="15"/>
          <w:szCs w:val="15"/>
          <w:color w:val="auto"/>
        </w:rPr>
        <w:t>If the depositary for any of the securities represented by a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global security that had been held by the depositary. Any securities issued in definitive form in exchange for a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global security that had been held by the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225425</wp:posOffset>
            </wp:positionV>
            <wp:extent cx="6271260"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a:extLst>
                        <a:ext uri="{28A0092B-C50C-407E-A947-70E740481C1C}"/>
                      </a:extLst>
                    </a:blip>
                    <a:srcRect/>
                    <a:stretch>
                      <a:fillRect/>
                    </a:stretch>
                  </pic:blipFill>
                  <pic:spPr bwMode="auto">
                    <a:xfrm>
                      <a:off x="0" y="0"/>
                      <a:ext cx="6271260" cy="41275"/>
                    </a:xfrm>
                    <a:prstGeom prst="rect">
                      <a:avLst/>
                    </a:prstGeom>
                    <a:noFill/>
                  </pic:spPr>
                </pic:pic>
              </a:graphicData>
            </a:graphic>
          </wp:anchor>
        </w:drawing>
      </w:r>
    </w:p>
    <w:p>
      <w:pPr>
        <w:sectPr>
          <w:pgSz w:w="11900" w:h="16838" w:orient="portrait"/>
          <w:cols w:equalWidth="0" w:num="1">
            <w:col w:w="9439"/>
          </w:cols>
          <w:pgMar w:left="1020" w:top="131" w:right="1440" w:bottom="1440" w:gutter="0" w:footer="0" w:header="0"/>
        </w:sectPr>
      </w:pPr>
    </w:p>
    <w:bookmarkStart w:id="32" w:name="page33"/>
    <w:bookmarkEnd w:id="32"/>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960"/>
        <w:spacing w:after="0"/>
        <w:rPr>
          <w:sz w:val="20"/>
          <w:szCs w:val="20"/>
          <w:color w:val="auto"/>
        </w:rPr>
      </w:pPr>
      <w:r>
        <w:rPr>
          <w:rFonts w:ascii="Arial" w:cs="Arial" w:eastAsia="Arial" w:hAnsi="Arial"/>
          <w:sz w:val="17"/>
          <w:szCs w:val="17"/>
          <w:b w:val="1"/>
          <w:bCs w:val="1"/>
          <w:color w:val="auto"/>
        </w:rPr>
        <w:t>PLAN OF DISTRIBUTION</w:t>
      </w:r>
    </w:p>
    <w:p>
      <w:pPr>
        <w:spacing w:after="0" w:line="131"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We may sell securities:</w:t>
      </w:r>
    </w:p>
    <w:p>
      <w:pPr>
        <w:spacing w:after="0" w:line="102" w:lineRule="exact"/>
        <w:rPr>
          <w:sz w:val="20"/>
          <w:szCs w:val="20"/>
          <w:color w:val="auto"/>
        </w:rPr>
      </w:pPr>
    </w:p>
    <w:p>
      <w:pPr>
        <w:ind w:left="1640" w:hanging="156"/>
        <w:spacing w:after="0"/>
        <w:tabs>
          <w:tab w:leader="none" w:pos="1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through underwriters;</w:t>
      </w:r>
    </w:p>
    <w:p>
      <w:pPr>
        <w:spacing w:after="0" w:line="102" w:lineRule="exact"/>
        <w:rPr>
          <w:rFonts w:ascii="Arial" w:cs="Arial" w:eastAsia="Arial" w:hAnsi="Arial"/>
          <w:sz w:val="17"/>
          <w:szCs w:val="17"/>
          <w:color w:val="auto"/>
        </w:rPr>
      </w:pPr>
    </w:p>
    <w:p>
      <w:pPr>
        <w:ind w:left="1640" w:hanging="156"/>
        <w:spacing w:after="0"/>
        <w:tabs>
          <w:tab w:leader="none" w:pos="1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through dealers;</w:t>
      </w:r>
    </w:p>
    <w:p>
      <w:pPr>
        <w:spacing w:after="0" w:line="102" w:lineRule="exact"/>
        <w:rPr>
          <w:rFonts w:ascii="Arial" w:cs="Arial" w:eastAsia="Arial" w:hAnsi="Arial"/>
          <w:sz w:val="17"/>
          <w:szCs w:val="17"/>
          <w:color w:val="auto"/>
        </w:rPr>
      </w:pPr>
    </w:p>
    <w:p>
      <w:pPr>
        <w:ind w:left="1640" w:hanging="156"/>
        <w:spacing w:after="0"/>
        <w:tabs>
          <w:tab w:leader="none" w:pos="1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through agents;</w:t>
      </w:r>
    </w:p>
    <w:p>
      <w:pPr>
        <w:spacing w:after="0" w:line="102" w:lineRule="exact"/>
        <w:rPr>
          <w:rFonts w:ascii="Arial" w:cs="Arial" w:eastAsia="Arial" w:hAnsi="Arial"/>
          <w:sz w:val="17"/>
          <w:szCs w:val="17"/>
          <w:color w:val="auto"/>
        </w:rPr>
      </w:pPr>
    </w:p>
    <w:p>
      <w:pPr>
        <w:ind w:left="1640" w:hanging="156"/>
        <w:spacing w:after="0"/>
        <w:tabs>
          <w:tab w:leader="none" w:pos="1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directly to purchasers; or</w:t>
      </w:r>
    </w:p>
    <w:p>
      <w:pPr>
        <w:spacing w:after="0" w:line="102" w:lineRule="exact"/>
        <w:rPr>
          <w:rFonts w:ascii="Arial" w:cs="Arial" w:eastAsia="Arial" w:hAnsi="Arial"/>
          <w:sz w:val="17"/>
          <w:szCs w:val="17"/>
          <w:color w:val="auto"/>
        </w:rPr>
      </w:pPr>
    </w:p>
    <w:p>
      <w:pPr>
        <w:ind w:left="1640" w:hanging="156"/>
        <w:spacing w:after="0"/>
        <w:tabs>
          <w:tab w:leader="none" w:pos="1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through a combination of any of these methods of sale.</w:t>
      </w:r>
    </w:p>
    <w:p>
      <w:pPr>
        <w:spacing w:after="0" w:line="127" w:lineRule="exact"/>
        <w:rPr>
          <w:sz w:val="20"/>
          <w:szCs w:val="20"/>
          <w:color w:val="auto"/>
        </w:rPr>
      </w:pPr>
    </w:p>
    <w:p>
      <w:pPr>
        <w:ind w:left="1160" w:right="759" w:firstLine="331"/>
        <w:spacing w:after="0" w:line="284" w:lineRule="auto"/>
        <w:rPr>
          <w:sz w:val="20"/>
          <w:szCs w:val="20"/>
          <w:color w:val="auto"/>
        </w:rPr>
      </w:pPr>
      <w:r>
        <w:rPr>
          <w:rFonts w:ascii="Arial" w:cs="Arial" w:eastAsia="Arial" w:hAnsi="Arial"/>
          <w:sz w:val="15"/>
          <w:szCs w:val="15"/>
          <w:color w:val="auto"/>
        </w:rPr>
        <w:t>In addition, we may issue the securities as a dividend or distribution or in a subscription rights offering to our existing security holders. This prospectus may be used in connection with any offering of our securities through any of these methods or other methods described in the applicable prospectus supplement.</w:t>
      </w:r>
    </w:p>
    <w:p>
      <w:pPr>
        <w:spacing w:after="0" w:line="82" w:lineRule="exact"/>
        <w:rPr>
          <w:sz w:val="20"/>
          <w:szCs w:val="20"/>
          <w:color w:val="auto"/>
        </w:rPr>
      </w:pPr>
    </w:p>
    <w:p>
      <w:pPr>
        <w:ind w:left="1160" w:right="779" w:firstLine="331"/>
        <w:spacing w:after="0" w:line="247" w:lineRule="auto"/>
        <w:rPr>
          <w:sz w:val="20"/>
          <w:szCs w:val="20"/>
          <w:color w:val="auto"/>
        </w:rPr>
      </w:pPr>
      <w:r>
        <w:rPr>
          <w:rFonts w:ascii="Arial" w:cs="Arial" w:eastAsia="Arial" w:hAnsi="Arial"/>
          <w:sz w:val="17"/>
          <w:szCs w:val="17"/>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w:t>
      </w:r>
    </w:p>
    <w:p>
      <w:pPr>
        <w:spacing w:after="0" w:line="123"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The distribution of the securities may be effected from time to time in one or more transactions:</w:t>
      </w:r>
    </w:p>
    <w:p>
      <w:pPr>
        <w:spacing w:after="0" w:line="102" w:lineRule="exact"/>
        <w:rPr>
          <w:sz w:val="20"/>
          <w:szCs w:val="20"/>
          <w:color w:val="auto"/>
        </w:rPr>
      </w:pPr>
    </w:p>
    <w:p>
      <w:pPr>
        <w:ind w:left="1640" w:hanging="156"/>
        <w:spacing w:after="0"/>
        <w:tabs>
          <w:tab w:leader="none" w:pos="1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at a fixed price, or prices, which may be changed from time to time;</w:t>
      </w:r>
    </w:p>
    <w:p>
      <w:pPr>
        <w:spacing w:after="0" w:line="102" w:lineRule="exact"/>
        <w:rPr>
          <w:rFonts w:ascii="Arial" w:cs="Arial" w:eastAsia="Arial" w:hAnsi="Arial"/>
          <w:sz w:val="17"/>
          <w:szCs w:val="17"/>
          <w:color w:val="auto"/>
        </w:rPr>
      </w:pPr>
    </w:p>
    <w:p>
      <w:pPr>
        <w:ind w:left="1640" w:hanging="156"/>
        <w:spacing w:after="0"/>
        <w:tabs>
          <w:tab w:leader="none" w:pos="1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at market prices prevailing at the time of sale;</w:t>
      </w:r>
    </w:p>
    <w:p>
      <w:pPr>
        <w:spacing w:after="0" w:line="102" w:lineRule="exact"/>
        <w:rPr>
          <w:rFonts w:ascii="Arial" w:cs="Arial" w:eastAsia="Arial" w:hAnsi="Arial"/>
          <w:sz w:val="17"/>
          <w:szCs w:val="17"/>
          <w:color w:val="auto"/>
        </w:rPr>
      </w:pPr>
    </w:p>
    <w:p>
      <w:pPr>
        <w:ind w:left="1640" w:hanging="156"/>
        <w:spacing w:after="0"/>
        <w:tabs>
          <w:tab w:leader="none" w:pos="1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at prices related to such prevailing market prices; or</w:t>
      </w:r>
    </w:p>
    <w:p>
      <w:pPr>
        <w:spacing w:after="0" w:line="102" w:lineRule="exact"/>
        <w:rPr>
          <w:rFonts w:ascii="Arial" w:cs="Arial" w:eastAsia="Arial" w:hAnsi="Arial"/>
          <w:sz w:val="17"/>
          <w:szCs w:val="17"/>
          <w:color w:val="auto"/>
        </w:rPr>
      </w:pPr>
    </w:p>
    <w:p>
      <w:pPr>
        <w:ind w:left="1640" w:hanging="156"/>
        <w:spacing w:after="0"/>
        <w:tabs>
          <w:tab w:leader="none" w:pos="1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at negotiated prices.</w:t>
      </w:r>
    </w:p>
    <w:p>
      <w:pPr>
        <w:spacing w:after="0" w:line="127" w:lineRule="exact"/>
        <w:rPr>
          <w:sz w:val="20"/>
          <w:szCs w:val="20"/>
          <w:color w:val="auto"/>
        </w:rPr>
      </w:pPr>
    </w:p>
    <w:p>
      <w:pPr>
        <w:ind w:left="1160" w:right="1459" w:firstLine="331"/>
        <w:spacing w:after="0" w:line="260" w:lineRule="auto"/>
        <w:rPr>
          <w:sz w:val="20"/>
          <w:szCs w:val="20"/>
          <w:color w:val="auto"/>
        </w:rPr>
      </w:pPr>
      <w:r>
        <w:rPr>
          <w:rFonts w:ascii="Arial" w:cs="Arial" w:eastAsia="Arial" w:hAnsi="Arial"/>
          <w:sz w:val="17"/>
          <w:szCs w:val="17"/>
          <w:color w:val="auto"/>
        </w:rPr>
        <w:t>Each prospectus supplement will describe the method of distribution of the securities and any applicable restrictions.</w:t>
      </w:r>
    </w:p>
    <w:p>
      <w:pPr>
        <w:spacing w:after="0" w:line="110" w:lineRule="exact"/>
        <w:rPr>
          <w:sz w:val="20"/>
          <w:szCs w:val="20"/>
          <w:color w:val="auto"/>
        </w:rPr>
      </w:pPr>
    </w:p>
    <w:p>
      <w:pPr>
        <w:ind w:left="1160" w:right="759" w:firstLine="331"/>
        <w:spacing w:after="0" w:line="260" w:lineRule="auto"/>
        <w:rPr>
          <w:sz w:val="20"/>
          <w:szCs w:val="20"/>
          <w:color w:val="auto"/>
        </w:rPr>
      </w:pPr>
      <w:r>
        <w:rPr>
          <w:rFonts w:ascii="Arial" w:cs="Arial" w:eastAsia="Arial" w:hAnsi="Arial"/>
          <w:sz w:val="17"/>
          <w:szCs w:val="17"/>
          <w:color w:val="auto"/>
        </w:rPr>
        <w:t>The prospectus supplement with respect to the securities of a particular series will describe the terms of the offering of the securities, including the following:</w:t>
      </w:r>
    </w:p>
    <w:p>
      <w:pPr>
        <w:spacing w:after="0" w:line="73" w:lineRule="exact"/>
        <w:rPr>
          <w:sz w:val="20"/>
          <w:szCs w:val="20"/>
          <w:color w:val="auto"/>
        </w:rPr>
      </w:pPr>
    </w:p>
    <w:p>
      <w:pPr>
        <w:ind w:left="1640" w:hanging="156"/>
        <w:spacing w:after="0"/>
        <w:tabs>
          <w:tab w:leader="none" w:pos="1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name of the agent or any underwriters;</w:t>
      </w:r>
    </w:p>
    <w:p>
      <w:pPr>
        <w:spacing w:after="0" w:line="102" w:lineRule="exact"/>
        <w:rPr>
          <w:rFonts w:ascii="Arial" w:cs="Arial" w:eastAsia="Arial" w:hAnsi="Arial"/>
          <w:sz w:val="17"/>
          <w:szCs w:val="17"/>
          <w:color w:val="auto"/>
        </w:rPr>
      </w:pPr>
    </w:p>
    <w:p>
      <w:pPr>
        <w:ind w:left="1640" w:hanging="156"/>
        <w:spacing w:after="0"/>
        <w:tabs>
          <w:tab w:leader="none" w:pos="16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public offering or purchase price and the proceeds we will receive from the sale of the securities;</w:t>
      </w:r>
    </w:p>
    <w:p>
      <w:pPr>
        <w:spacing w:after="0" w:line="125" w:lineRule="exact"/>
        <w:rPr>
          <w:rFonts w:ascii="Arial" w:cs="Arial" w:eastAsia="Arial" w:hAnsi="Arial"/>
          <w:sz w:val="15"/>
          <w:szCs w:val="15"/>
          <w:color w:val="auto"/>
        </w:rPr>
      </w:pPr>
    </w:p>
    <w:p>
      <w:pPr>
        <w:ind w:left="1640" w:hanging="156"/>
        <w:spacing w:after="0"/>
        <w:tabs>
          <w:tab w:leader="none" w:pos="16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any discounts and commissions to be allowed or re-allowed or paid to the agent or underwriters;</w:t>
      </w:r>
    </w:p>
    <w:p>
      <w:pPr>
        <w:spacing w:after="0" w:line="125" w:lineRule="exact"/>
        <w:rPr>
          <w:rFonts w:ascii="Arial" w:cs="Arial" w:eastAsia="Arial" w:hAnsi="Arial"/>
          <w:sz w:val="15"/>
          <w:szCs w:val="15"/>
          <w:color w:val="auto"/>
        </w:rPr>
      </w:pPr>
    </w:p>
    <w:p>
      <w:pPr>
        <w:ind w:left="1640" w:hanging="156"/>
        <w:spacing w:after="0"/>
        <w:tabs>
          <w:tab w:leader="none" w:pos="1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all other items constituting underwriting compensation;</w:t>
      </w:r>
    </w:p>
    <w:p>
      <w:pPr>
        <w:spacing w:after="0" w:line="102" w:lineRule="exact"/>
        <w:rPr>
          <w:rFonts w:ascii="Arial" w:cs="Arial" w:eastAsia="Arial" w:hAnsi="Arial"/>
          <w:sz w:val="17"/>
          <w:szCs w:val="17"/>
          <w:color w:val="auto"/>
        </w:rPr>
      </w:pPr>
    </w:p>
    <w:p>
      <w:pPr>
        <w:ind w:left="1640" w:hanging="156"/>
        <w:spacing w:after="0"/>
        <w:tabs>
          <w:tab w:leader="none" w:pos="1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discounts and commissions to be allowed or re-allowed or paid to dealers; and</w:t>
      </w:r>
    </w:p>
    <w:p>
      <w:pPr>
        <w:spacing w:after="0" w:line="102" w:lineRule="exact"/>
        <w:rPr>
          <w:rFonts w:ascii="Arial" w:cs="Arial" w:eastAsia="Arial" w:hAnsi="Arial"/>
          <w:sz w:val="17"/>
          <w:szCs w:val="17"/>
          <w:color w:val="auto"/>
        </w:rPr>
      </w:pPr>
    </w:p>
    <w:p>
      <w:pPr>
        <w:ind w:left="1640" w:hanging="156"/>
        <w:spacing w:after="0"/>
        <w:tabs>
          <w:tab w:leader="none" w:pos="1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exchanges on which the securities will be listed.</w:t>
      </w:r>
    </w:p>
    <w:p>
      <w:pPr>
        <w:spacing w:after="0" w:line="139" w:lineRule="exact"/>
        <w:rPr>
          <w:sz w:val="20"/>
          <w:szCs w:val="20"/>
          <w:color w:val="auto"/>
        </w:rPr>
      </w:pPr>
    </w:p>
    <w:p>
      <w:pPr>
        <w:ind w:left="1160" w:right="779" w:firstLine="331"/>
        <w:spacing w:after="0" w:line="249" w:lineRule="auto"/>
        <w:rPr>
          <w:sz w:val="20"/>
          <w:szCs w:val="20"/>
          <w:color w:val="auto"/>
        </w:rPr>
      </w:pPr>
      <w:r>
        <w:rPr>
          <w:rFonts w:ascii="Arial" w:cs="Arial" w:eastAsia="Arial" w:hAnsi="Arial"/>
          <w:sz w:val="17"/>
          <w:szCs w:val="17"/>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07" w:lineRule="exact"/>
        <w:rPr>
          <w:sz w:val="20"/>
          <w:szCs w:val="20"/>
          <w:color w:val="auto"/>
        </w:rPr>
      </w:pPr>
    </w:p>
    <w:p>
      <w:pPr>
        <w:ind w:left="1160" w:right="799" w:firstLine="331"/>
        <w:spacing w:after="0" w:line="252" w:lineRule="auto"/>
        <w:rPr>
          <w:sz w:val="20"/>
          <w:szCs w:val="20"/>
          <w:color w:val="auto"/>
        </w:rPr>
      </w:pPr>
      <w:r>
        <w:rPr>
          <w:rFonts w:ascii="Arial" w:cs="Arial" w:eastAsia="Arial" w:hAnsi="Arial"/>
          <w:sz w:val="17"/>
          <w:szCs w:val="17"/>
          <w:color w:val="auto"/>
        </w:rPr>
        <w:t>If a dealer is utilized in the sale of the securities in respect of which this prospectus is delivered, we will sell such securities to the dealer, as principal. The dealer may then resell such securities to the public at varying prices to be determined by such dealer at the time of resale.</w:t>
      </w:r>
    </w:p>
    <w:p>
      <w:pPr>
        <w:spacing w:after="0" w:line="116" w:lineRule="exact"/>
        <w:rPr>
          <w:sz w:val="20"/>
          <w:szCs w:val="20"/>
          <w:color w:val="auto"/>
        </w:rPr>
      </w:pPr>
    </w:p>
    <w:p>
      <w:pPr>
        <w:ind w:left="1160" w:right="739" w:firstLine="331"/>
        <w:spacing w:after="0" w:line="247" w:lineRule="auto"/>
        <w:rPr>
          <w:sz w:val="20"/>
          <w:szCs w:val="20"/>
          <w:color w:val="auto"/>
        </w:rPr>
      </w:pPr>
      <w:r>
        <w:rPr>
          <w:rFonts w:ascii="Arial" w:cs="Arial" w:eastAsia="Arial" w:hAnsi="Arial"/>
          <w:sz w:val="17"/>
          <w:szCs w:val="17"/>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346"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225425</wp:posOffset>
            </wp:positionV>
            <wp:extent cx="6271260"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2">
                      <a:extLst>
                        <a:ext uri="{28A0092B-C50C-407E-A947-70E740481C1C}"/>
                      </a:extLst>
                    </a:blip>
                    <a:srcRect/>
                    <a:stretch>
                      <a:fillRect/>
                    </a:stretch>
                  </pic:blipFill>
                  <pic:spPr bwMode="auto">
                    <a:xfrm>
                      <a:off x="0" y="0"/>
                      <a:ext cx="6271260" cy="41275"/>
                    </a:xfrm>
                    <a:prstGeom prst="rect">
                      <a:avLst/>
                    </a:prstGeom>
                    <a:noFill/>
                  </pic:spPr>
                </pic:pic>
              </a:graphicData>
            </a:graphic>
          </wp:anchor>
        </w:drawing>
      </w:r>
    </w:p>
    <w:p>
      <w:pPr>
        <w:sectPr>
          <w:pgSz w:w="11900" w:h="16838" w:orient="portrait"/>
          <w:cols w:equalWidth="0" w:num="1">
            <w:col w:w="9439"/>
          </w:cols>
          <w:pgMar w:left="1020" w:top="131" w:right="1440" w:bottom="1440" w:gutter="0" w:footer="0" w:header="0"/>
        </w:sectPr>
      </w:pPr>
    </w:p>
    <w:bookmarkStart w:id="33" w:name="page34"/>
    <w:bookmarkEnd w:id="33"/>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160" w:right="939" w:firstLine="331"/>
        <w:spacing w:after="0" w:line="249" w:lineRule="auto"/>
        <w:rPr>
          <w:sz w:val="20"/>
          <w:szCs w:val="20"/>
          <w:color w:val="auto"/>
        </w:rPr>
      </w:pPr>
      <w:r>
        <w:rPr>
          <w:rFonts w:ascii="Arial" w:cs="Arial" w:eastAsia="Arial" w:hAnsi="Arial"/>
          <w:sz w:val="17"/>
          <w:szCs w:val="17"/>
          <w:color w:val="auto"/>
        </w:rPr>
        <w:t>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07" w:lineRule="exact"/>
        <w:rPr>
          <w:sz w:val="20"/>
          <w:szCs w:val="20"/>
          <w:color w:val="auto"/>
        </w:rPr>
      </w:pPr>
    </w:p>
    <w:p>
      <w:pPr>
        <w:ind w:left="1160" w:right="779" w:firstLine="331"/>
        <w:spacing w:after="0" w:line="282" w:lineRule="auto"/>
        <w:rPr>
          <w:sz w:val="20"/>
          <w:szCs w:val="20"/>
          <w:color w:val="auto"/>
        </w:rPr>
      </w:pPr>
      <w:r>
        <w:rPr>
          <w:rFonts w:ascii="Arial" w:cs="Arial" w:eastAsia="Arial" w:hAnsi="Arial"/>
          <w:sz w:val="15"/>
          <w:szCs w:val="15"/>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61" w:lineRule="exact"/>
        <w:rPr>
          <w:sz w:val="20"/>
          <w:szCs w:val="20"/>
          <w:color w:val="auto"/>
        </w:rPr>
      </w:pPr>
    </w:p>
    <w:p>
      <w:pPr>
        <w:ind w:left="1640" w:right="1059" w:hanging="156"/>
        <w:spacing w:after="0" w:line="327" w:lineRule="auto"/>
        <w:tabs>
          <w:tab w:leader="none" w:pos="16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purchase by an institution of the securities covered under that contract shall not at the time of delivery be prohibited under the laws of the jurisdiction to which that institution is subject; and</w:t>
      </w:r>
    </w:p>
    <w:p>
      <w:pPr>
        <w:spacing w:after="0" w:line="26" w:lineRule="exact"/>
        <w:rPr>
          <w:rFonts w:ascii="Arial" w:cs="Arial" w:eastAsia="Arial" w:hAnsi="Arial"/>
          <w:sz w:val="15"/>
          <w:szCs w:val="15"/>
          <w:color w:val="auto"/>
        </w:rPr>
      </w:pPr>
    </w:p>
    <w:p>
      <w:pPr>
        <w:ind w:left="1640" w:right="759" w:hanging="156"/>
        <w:spacing w:after="0" w:line="249" w:lineRule="auto"/>
        <w:tabs>
          <w:tab w:leader="none" w:pos="16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19" w:lineRule="exact"/>
        <w:rPr>
          <w:sz w:val="20"/>
          <w:szCs w:val="20"/>
          <w:color w:val="auto"/>
        </w:rPr>
      </w:pPr>
    </w:p>
    <w:p>
      <w:pPr>
        <w:ind w:left="1160" w:right="879" w:firstLine="331"/>
        <w:spacing w:after="0" w:line="249" w:lineRule="auto"/>
        <w:rPr>
          <w:sz w:val="20"/>
          <w:szCs w:val="20"/>
          <w:color w:val="auto"/>
        </w:rPr>
      </w:pPr>
      <w:r>
        <w:rPr>
          <w:rFonts w:ascii="Arial" w:cs="Arial" w:eastAsia="Arial" w:hAnsi="Arial"/>
          <w:sz w:val="17"/>
          <w:szCs w:val="17"/>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19" w:lineRule="exact"/>
        <w:rPr>
          <w:sz w:val="20"/>
          <w:szCs w:val="20"/>
          <w:color w:val="auto"/>
        </w:rPr>
      </w:pPr>
    </w:p>
    <w:p>
      <w:pPr>
        <w:ind w:left="1160" w:right="779" w:firstLine="331"/>
        <w:spacing w:after="0" w:line="281" w:lineRule="auto"/>
        <w:rPr>
          <w:sz w:val="20"/>
          <w:szCs w:val="20"/>
          <w:color w:val="auto"/>
        </w:rPr>
      </w:pPr>
      <w:r>
        <w:rPr>
          <w:rFonts w:ascii="Arial" w:cs="Arial" w:eastAsia="Arial" w:hAnsi="Arial"/>
          <w:sz w:val="15"/>
          <w:szCs w:val="15"/>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284" w:lineRule="exact"/>
        <w:rPr>
          <w:sz w:val="20"/>
          <w:szCs w:val="20"/>
          <w:color w:val="auto"/>
        </w:rPr>
      </w:pPr>
    </w:p>
    <w:p>
      <w:pPr>
        <w:ind w:left="1160" w:right="799" w:firstLine="331"/>
        <w:spacing w:after="0" w:line="246" w:lineRule="auto"/>
        <w:rPr>
          <w:sz w:val="20"/>
          <w:szCs w:val="20"/>
          <w:color w:val="auto"/>
        </w:rPr>
      </w:pPr>
      <w:r>
        <w:rPr>
          <w:rFonts w:ascii="Arial" w:cs="Arial" w:eastAsia="Arial" w:hAnsi="Arial"/>
          <w:sz w:val="17"/>
          <w:szCs w:val="17"/>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21" w:lineRule="exact"/>
        <w:rPr>
          <w:sz w:val="20"/>
          <w:szCs w:val="20"/>
          <w:color w:val="auto"/>
        </w:rPr>
      </w:pPr>
    </w:p>
    <w:p>
      <w:pPr>
        <w:ind w:left="1160" w:right="959" w:firstLine="331"/>
        <w:spacing w:after="0" w:line="252" w:lineRule="auto"/>
        <w:rPr>
          <w:sz w:val="20"/>
          <w:szCs w:val="20"/>
          <w:color w:val="auto"/>
        </w:rPr>
      </w:pPr>
      <w:r>
        <w:rPr>
          <w:rFonts w:ascii="Arial" w:cs="Arial" w:eastAsia="Arial" w:hAnsi="Arial"/>
          <w:sz w:val="17"/>
          <w:szCs w:val="17"/>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225425</wp:posOffset>
            </wp:positionV>
            <wp:extent cx="6271260"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3">
                      <a:extLst>
                        <a:ext uri="{28A0092B-C50C-407E-A947-70E740481C1C}"/>
                      </a:extLst>
                    </a:blip>
                    <a:srcRect/>
                    <a:stretch>
                      <a:fillRect/>
                    </a:stretch>
                  </pic:blipFill>
                  <pic:spPr bwMode="auto">
                    <a:xfrm>
                      <a:off x="0" y="0"/>
                      <a:ext cx="6271260" cy="41275"/>
                    </a:xfrm>
                    <a:prstGeom prst="rect">
                      <a:avLst/>
                    </a:prstGeom>
                    <a:noFill/>
                  </pic:spPr>
                </pic:pic>
              </a:graphicData>
            </a:graphic>
          </wp:anchor>
        </w:drawing>
      </w:r>
    </w:p>
    <w:p>
      <w:pPr>
        <w:sectPr>
          <w:pgSz w:w="11900" w:h="16838" w:orient="portrait"/>
          <w:cols w:equalWidth="0" w:num="1">
            <w:col w:w="9439"/>
          </w:cols>
          <w:pgMar w:left="1020" w:top="131" w:right="1440" w:bottom="1440" w:gutter="0" w:footer="0" w:header="0"/>
        </w:sectPr>
      </w:pPr>
    </w:p>
    <w:bookmarkStart w:id="34" w:name="page35"/>
    <w:bookmarkEnd w:id="34"/>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420"/>
        <w:spacing w:after="0"/>
        <w:rPr>
          <w:sz w:val="20"/>
          <w:szCs w:val="20"/>
          <w:color w:val="auto"/>
        </w:rPr>
      </w:pPr>
      <w:r>
        <w:rPr>
          <w:rFonts w:ascii="Arial" w:cs="Arial" w:eastAsia="Arial" w:hAnsi="Arial"/>
          <w:sz w:val="17"/>
          <w:szCs w:val="17"/>
          <w:b w:val="1"/>
          <w:bCs w:val="1"/>
          <w:color w:val="auto"/>
        </w:rPr>
        <w:t>LEGAL MATTERS</w:t>
      </w:r>
    </w:p>
    <w:p>
      <w:pPr>
        <w:spacing w:after="0" w:line="131" w:lineRule="exact"/>
        <w:rPr>
          <w:sz w:val="20"/>
          <w:szCs w:val="20"/>
          <w:color w:val="auto"/>
        </w:rPr>
      </w:pPr>
    </w:p>
    <w:p>
      <w:pPr>
        <w:ind w:left="1160" w:right="1039" w:firstLine="331"/>
        <w:spacing w:after="0" w:line="252" w:lineRule="auto"/>
        <w:rPr>
          <w:sz w:val="20"/>
          <w:szCs w:val="20"/>
          <w:color w:val="auto"/>
        </w:rPr>
      </w:pPr>
      <w:r>
        <w:rPr>
          <w:rFonts w:ascii="Arial" w:cs="Arial" w:eastAsia="Arial" w:hAnsi="Arial"/>
          <w:sz w:val="17"/>
          <w:szCs w:val="17"/>
          <w:color w:val="auto"/>
        </w:rPr>
        <w:t>Unless the applicable prospectus supplement indicates otherwise, the validity of the securities in respect of which this prospectus is being delivered will be passed upon by Wilmer Cutler Pickering Hale and Dorr LLP.</w:t>
      </w:r>
    </w:p>
    <w:p>
      <w:pPr>
        <w:spacing w:after="0" w:line="174" w:lineRule="exact"/>
        <w:rPr>
          <w:sz w:val="20"/>
          <w:szCs w:val="20"/>
          <w:color w:val="auto"/>
        </w:rPr>
      </w:pPr>
    </w:p>
    <w:p>
      <w:pPr>
        <w:jc w:val="center"/>
        <w:ind w:right="-420"/>
        <w:spacing w:after="0"/>
        <w:rPr>
          <w:sz w:val="20"/>
          <w:szCs w:val="20"/>
          <w:color w:val="auto"/>
        </w:rPr>
      </w:pPr>
      <w:r>
        <w:rPr>
          <w:rFonts w:ascii="Arial" w:cs="Arial" w:eastAsia="Arial" w:hAnsi="Arial"/>
          <w:sz w:val="17"/>
          <w:szCs w:val="17"/>
          <w:b w:val="1"/>
          <w:bCs w:val="1"/>
          <w:color w:val="auto"/>
        </w:rPr>
        <w:t>EXPERTS</w:t>
      </w:r>
    </w:p>
    <w:p>
      <w:pPr>
        <w:spacing w:after="0" w:line="143" w:lineRule="exact"/>
        <w:rPr>
          <w:sz w:val="20"/>
          <w:szCs w:val="20"/>
          <w:color w:val="auto"/>
        </w:rPr>
      </w:pPr>
    </w:p>
    <w:p>
      <w:pPr>
        <w:ind w:left="1160" w:right="759" w:firstLine="331"/>
        <w:spacing w:after="0" w:line="286" w:lineRule="auto"/>
        <w:rPr>
          <w:rFonts w:ascii="Arial" w:cs="Arial" w:eastAsia="Arial" w:hAnsi="Arial"/>
          <w:sz w:val="15"/>
          <w:szCs w:val="15"/>
          <w:color w:val="auto"/>
        </w:rPr>
      </w:pPr>
      <w:r>
        <w:rPr>
          <w:rFonts w:ascii="Arial" w:cs="Arial" w:eastAsia="Arial" w:hAnsi="Arial"/>
          <w:sz w:val="15"/>
          <w:szCs w:val="15"/>
          <w:color w:val="auto"/>
        </w:rPr>
        <w:t xml:space="preserve">Ernst &amp; Young LLP, independent registered public accounting firm, has audited our consolidated financial statements included in our </w:t>
      </w:r>
      <w:hyperlink r:id="rId20">
        <w:r>
          <w:rPr>
            <w:rFonts w:ascii="Arial" w:cs="Arial" w:eastAsia="Arial" w:hAnsi="Arial"/>
            <w:sz w:val="15"/>
            <w:szCs w:val="15"/>
            <w:u w:val="single" w:color="auto"/>
            <w:color w:val="0000EE"/>
          </w:rPr>
          <w:t>Annual Report on Form 10-K for the year ended December 31, 2020</w:t>
        </w:r>
      </w:hyperlink>
      <w:r>
        <w:rPr>
          <w:rFonts w:ascii="Arial" w:cs="Arial" w:eastAsia="Arial" w:hAnsi="Arial"/>
          <w:sz w:val="15"/>
          <w:szCs w:val="15"/>
          <w:color w:val="auto"/>
        </w:rPr>
        <w:t>, and the effectiveness of our internal control over financial reporting as of December 31, 2020, as set forth in their reports, which are incorporated by reference in this prospectus and elsewhere in the registration statement. Our consolidated financial statements are incorporated by reference in reliance on Ernst &amp;Young LLP’s reports, given on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225425</wp:posOffset>
            </wp:positionV>
            <wp:extent cx="6271260"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4">
                      <a:extLst>
                        <a:ext uri="{28A0092B-C50C-407E-A947-70E740481C1C}"/>
                      </a:extLst>
                    </a:blip>
                    <a:srcRect/>
                    <a:stretch>
                      <a:fillRect/>
                    </a:stretch>
                  </pic:blipFill>
                  <pic:spPr bwMode="auto">
                    <a:xfrm>
                      <a:off x="0" y="0"/>
                      <a:ext cx="6271260" cy="41275"/>
                    </a:xfrm>
                    <a:prstGeom prst="rect">
                      <a:avLst/>
                    </a:prstGeom>
                    <a:noFill/>
                  </pic:spPr>
                </pic:pic>
              </a:graphicData>
            </a:graphic>
          </wp:anchor>
        </w:drawing>
      </w:r>
    </w:p>
    <w:p>
      <w:pPr>
        <w:sectPr>
          <w:pgSz w:w="11900" w:h="16838" w:orient="portrait"/>
          <w:cols w:equalWidth="0" w:num="1">
            <w:col w:w="9439"/>
          </w:cols>
          <w:pgMar w:left="1020" w:top="131" w:right="1440" w:bottom="1440" w:gutter="0" w:footer="0" w:header="0"/>
        </w:sectPr>
      </w:pPr>
    </w:p>
    <w:bookmarkStart w:id="35" w:name="page36"/>
    <w:bookmarkEnd w:id="35"/>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736600</wp:posOffset>
            </wp:positionH>
            <wp:positionV relativeFrom="paragraph">
              <wp:posOffset>280035</wp:posOffset>
            </wp:positionV>
            <wp:extent cx="4788535" cy="23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5">
                      <a:extLst>
                        <a:ext uri="{28A0092B-C50C-407E-A947-70E740481C1C}"/>
                      </a:extLst>
                    </a:blip>
                    <a:srcRect/>
                    <a:stretch>
                      <a:fillRect/>
                    </a:stretch>
                  </pic:blipFill>
                  <pic:spPr bwMode="auto">
                    <a:xfrm>
                      <a:off x="0" y="0"/>
                      <a:ext cx="4788535" cy="23495"/>
                    </a:xfrm>
                    <a:prstGeom prst="rect">
                      <a:avLst/>
                    </a:prstGeom>
                    <a:noFill/>
                  </pic:spPr>
                </pic:pic>
              </a:graphicData>
            </a:graphic>
          </wp:anchor>
        </w:drawing>
        <w:drawing>
          <wp:anchor simplePos="0" relativeHeight="251657728" behindDoc="1" locked="0" layoutInCell="0" allowOverlap="1">
            <wp:simplePos x="0" y="0"/>
            <wp:positionH relativeFrom="column">
              <wp:posOffset>736600</wp:posOffset>
            </wp:positionH>
            <wp:positionV relativeFrom="paragraph">
              <wp:posOffset>335280</wp:posOffset>
            </wp:positionV>
            <wp:extent cx="478853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6">
                      <a:extLst>
                        <a:ext uri="{28A0092B-C50C-407E-A947-70E740481C1C}"/>
                      </a:extLst>
                    </a:blip>
                    <a:srcRect/>
                    <a:stretch>
                      <a:fillRect/>
                    </a:stretch>
                  </pic:blipFill>
                  <pic:spPr bwMode="auto">
                    <a:xfrm>
                      <a:off x="0" y="0"/>
                      <a:ext cx="4788535" cy="7620"/>
                    </a:xfrm>
                    <a:prstGeom prst="rect">
                      <a:avLst/>
                    </a:prstGeom>
                    <a:noFill/>
                  </pic:spPr>
                </pic:pic>
              </a:graphicData>
            </a:graphic>
          </wp:anchor>
        </w:drawing>
      </w:r>
    </w:p>
    <w:p>
      <w:pPr>
        <w:sectPr>
          <w:pgSz w:w="11900" w:h="16838" w:orient="portrait"/>
          <w:cols w:equalWidth="0" w:num="1">
            <w:col w:w="9439"/>
          </w:cols>
          <w:pgMar w:left="10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740"/>
        <w:spacing w:after="0"/>
        <w:rPr>
          <w:sz w:val="20"/>
          <w:szCs w:val="20"/>
          <w:color w:val="auto"/>
        </w:rPr>
      </w:pPr>
      <w:r>
        <w:rPr>
          <w:rFonts w:ascii="Arial" w:cs="Arial" w:eastAsia="Arial" w:hAnsi="Arial"/>
          <w:sz w:val="29"/>
          <w:szCs w:val="29"/>
          <w:b w:val="1"/>
          <w:bCs w:val="1"/>
          <w:color w:val="auto"/>
        </w:rPr>
        <w:t>IVERIC BIO, INC.</w:t>
      </w:r>
    </w:p>
    <w:p>
      <w:pPr>
        <w:spacing w:after="0" w:line="192" w:lineRule="exact"/>
        <w:rPr>
          <w:sz w:val="20"/>
          <w:szCs w:val="20"/>
          <w:color w:val="auto"/>
        </w:rPr>
      </w:pPr>
    </w:p>
    <w:p>
      <w:pPr>
        <w:jc w:val="center"/>
        <w:ind w:right="-360"/>
        <w:spacing w:after="0"/>
        <w:rPr>
          <w:sz w:val="20"/>
          <w:szCs w:val="20"/>
          <w:color w:val="auto"/>
        </w:rPr>
      </w:pPr>
      <w:r>
        <w:rPr>
          <w:rFonts w:ascii="Arial" w:cs="Arial" w:eastAsia="Arial" w:hAnsi="Arial"/>
          <w:sz w:val="23"/>
          <w:szCs w:val="23"/>
          <w:b w:val="1"/>
          <w:bCs w:val="1"/>
          <w:color w:val="auto"/>
        </w:rPr>
        <w:t>Debt Securities</w:t>
      </w:r>
    </w:p>
    <w:p>
      <w:pPr>
        <w:jc w:val="center"/>
        <w:ind w:right="-360"/>
        <w:spacing w:after="0" w:line="233" w:lineRule="auto"/>
        <w:rPr>
          <w:sz w:val="20"/>
          <w:szCs w:val="20"/>
          <w:color w:val="auto"/>
        </w:rPr>
      </w:pPr>
      <w:r>
        <w:rPr>
          <w:rFonts w:ascii="Arial" w:cs="Arial" w:eastAsia="Arial" w:hAnsi="Arial"/>
          <w:sz w:val="23"/>
          <w:szCs w:val="23"/>
          <w:b w:val="1"/>
          <w:bCs w:val="1"/>
          <w:color w:val="auto"/>
        </w:rPr>
        <w:t>Common Stock</w:t>
      </w:r>
    </w:p>
    <w:p>
      <w:pPr>
        <w:jc w:val="center"/>
        <w:ind w:right="-360"/>
        <w:spacing w:after="0" w:line="225" w:lineRule="auto"/>
        <w:rPr>
          <w:sz w:val="20"/>
          <w:szCs w:val="20"/>
          <w:color w:val="auto"/>
        </w:rPr>
      </w:pPr>
      <w:r>
        <w:rPr>
          <w:rFonts w:ascii="Arial" w:cs="Arial" w:eastAsia="Arial" w:hAnsi="Arial"/>
          <w:sz w:val="23"/>
          <w:szCs w:val="23"/>
          <w:b w:val="1"/>
          <w:bCs w:val="1"/>
          <w:color w:val="auto"/>
        </w:rPr>
        <w:t>Preferred Stock</w:t>
      </w:r>
    </w:p>
    <w:p>
      <w:pPr>
        <w:jc w:val="center"/>
        <w:ind w:right="-360"/>
        <w:spacing w:after="0" w:line="225" w:lineRule="auto"/>
        <w:rPr>
          <w:sz w:val="20"/>
          <w:szCs w:val="20"/>
          <w:color w:val="auto"/>
        </w:rPr>
      </w:pPr>
      <w:r>
        <w:rPr>
          <w:rFonts w:ascii="Arial" w:cs="Arial" w:eastAsia="Arial" w:hAnsi="Arial"/>
          <w:sz w:val="23"/>
          <w:szCs w:val="23"/>
          <w:b w:val="1"/>
          <w:bCs w:val="1"/>
          <w:color w:val="auto"/>
        </w:rPr>
        <w:t>Warrants</w:t>
      </w:r>
    </w:p>
    <w:p>
      <w:pPr>
        <w:jc w:val="center"/>
        <w:ind w:right="-360"/>
        <w:spacing w:after="0" w:line="226" w:lineRule="auto"/>
        <w:rPr>
          <w:sz w:val="20"/>
          <w:szCs w:val="20"/>
          <w:color w:val="auto"/>
        </w:rPr>
      </w:pPr>
      <w:r>
        <w:rPr>
          <w:rFonts w:ascii="Arial" w:cs="Arial" w:eastAsia="Arial" w:hAnsi="Arial"/>
          <w:sz w:val="23"/>
          <w:szCs w:val="23"/>
          <w:b w:val="1"/>
          <w:bCs w:val="1"/>
          <w:color w:val="auto"/>
        </w:rPr>
        <w:t>Subscription Rights</w:t>
      </w:r>
    </w:p>
    <w:p>
      <w:pPr>
        <w:jc w:val="center"/>
        <w:ind w:right="-360"/>
        <w:spacing w:after="0" w:line="225" w:lineRule="auto"/>
        <w:rPr>
          <w:sz w:val="20"/>
          <w:szCs w:val="20"/>
          <w:color w:val="auto"/>
        </w:rPr>
      </w:pPr>
      <w:r>
        <w:rPr>
          <w:rFonts w:ascii="Arial" w:cs="Arial" w:eastAsia="Arial" w:hAnsi="Arial"/>
          <w:sz w:val="23"/>
          <w:szCs w:val="23"/>
          <w:b w:val="1"/>
          <w:bCs w:val="1"/>
          <w:color w:val="auto"/>
        </w:rPr>
        <w:t>Depositary Shares</w:t>
      </w:r>
    </w:p>
    <w:p>
      <w:pPr>
        <w:jc w:val="center"/>
        <w:ind w:right="-420"/>
        <w:spacing w:after="0"/>
        <w:rPr>
          <w:sz w:val="20"/>
          <w:szCs w:val="20"/>
          <w:color w:val="auto"/>
        </w:rPr>
      </w:pPr>
      <w:r>
        <w:rPr>
          <w:rFonts w:ascii="Arial" w:cs="Arial" w:eastAsia="Arial" w:hAnsi="Arial"/>
          <w:sz w:val="23"/>
          <w:szCs w:val="23"/>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2563495</wp:posOffset>
            </wp:positionH>
            <wp:positionV relativeFrom="paragraph">
              <wp:posOffset>183515</wp:posOffset>
            </wp:positionV>
            <wp:extent cx="113411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7">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center"/>
        <w:ind w:right="-420"/>
        <w:spacing w:after="0"/>
        <w:rPr>
          <w:sz w:val="20"/>
          <w:szCs w:val="20"/>
          <w:color w:val="auto"/>
        </w:rPr>
      </w:pPr>
      <w:r>
        <w:rPr>
          <w:rFonts w:ascii="Arial" w:cs="Arial" w:eastAsia="Arial" w:hAnsi="Arial"/>
          <w:sz w:val="23"/>
          <w:szCs w:val="23"/>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2563495</wp:posOffset>
            </wp:positionH>
            <wp:positionV relativeFrom="paragraph">
              <wp:posOffset>153035</wp:posOffset>
            </wp:positionV>
            <wp:extent cx="113411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420"/>
        <w:spacing w:after="0"/>
        <w:rPr>
          <w:sz w:val="20"/>
          <w:szCs w:val="20"/>
          <w:color w:val="auto"/>
        </w:rPr>
      </w:pPr>
      <w:r>
        <w:rPr>
          <w:rFonts w:ascii="Arial" w:cs="Arial" w:eastAsia="Arial" w:hAnsi="Arial"/>
          <w:sz w:val="17"/>
          <w:szCs w:val="17"/>
          <w:b w:val="1"/>
          <w:bCs w:val="1"/>
          <w:color w:val="auto"/>
        </w:rPr>
        <w:t>October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736600</wp:posOffset>
            </wp:positionH>
            <wp:positionV relativeFrom="paragraph">
              <wp:posOffset>2485390</wp:posOffset>
            </wp:positionV>
            <wp:extent cx="478853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extLst>
                    </a:blip>
                    <a:srcRect/>
                    <a:stretch>
                      <a:fillRect/>
                    </a:stretch>
                  </pic:blipFill>
                  <pic:spPr bwMode="auto">
                    <a:xfrm>
                      <a:off x="0" y="0"/>
                      <a:ext cx="4788535" cy="7620"/>
                    </a:xfrm>
                    <a:prstGeom prst="rect">
                      <a:avLst/>
                    </a:prstGeom>
                    <a:noFill/>
                  </pic:spPr>
                </pic:pic>
              </a:graphicData>
            </a:graphic>
          </wp:anchor>
        </w:drawing>
        <w:drawing>
          <wp:anchor simplePos="0" relativeHeight="251657728" behindDoc="1" locked="0" layoutInCell="0" allowOverlap="1">
            <wp:simplePos x="0" y="0"/>
            <wp:positionH relativeFrom="column">
              <wp:posOffset>736600</wp:posOffset>
            </wp:positionH>
            <wp:positionV relativeFrom="paragraph">
              <wp:posOffset>2524760</wp:posOffset>
            </wp:positionV>
            <wp:extent cx="4788535"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extLst>
                    </a:blip>
                    <a:srcRect/>
                    <a:stretch>
                      <a:fillRect/>
                    </a:stretch>
                  </pic:blipFill>
                  <pic:spPr bwMode="auto">
                    <a:xfrm>
                      <a:off x="0" y="0"/>
                      <a:ext cx="4788535" cy="1587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2756535</wp:posOffset>
            </wp:positionV>
            <wp:extent cx="6271260"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6271260" cy="41275"/>
                    </a:xfrm>
                    <a:prstGeom prst="rect">
                      <a:avLst/>
                    </a:prstGeom>
                    <a:noFill/>
                  </pic:spPr>
                </pic:pic>
              </a:graphicData>
            </a:graphic>
          </wp:anchor>
        </w:drawing>
      </w:r>
    </w:p>
    <w:p>
      <w:pPr>
        <w:sectPr>
          <w:pgSz w:w="11900" w:h="16838" w:orient="portrait"/>
          <w:cols w:equalWidth="0" w:num="1">
            <w:col w:w="9439"/>
          </w:cols>
          <w:pgMar w:left="1020" w:top="131" w:right="1440" w:bottom="1440" w:gutter="0" w:footer="0" w:header="0"/>
          <w:type w:val="continuous"/>
        </w:sectPr>
      </w:pPr>
    </w:p>
    <w:bookmarkStart w:id="36" w:name="page37"/>
    <w:bookmarkEnd w:id="36"/>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80"/>
        <w:spacing w:after="0"/>
        <w:rPr>
          <w:sz w:val="20"/>
          <w:szCs w:val="20"/>
          <w:color w:val="auto"/>
        </w:rPr>
      </w:pPr>
      <w:r>
        <w:rPr>
          <w:rFonts w:ascii="Arial" w:cs="Arial" w:eastAsia="Arial" w:hAnsi="Arial"/>
          <w:sz w:val="17"/>
          <w:szCs w:val="17"/>
          <w:b w:val="1"/>
          <w:bCs w:val="1"/>
          <w:color w:val="auto"/>
        </w:rPr>
        <w:t>PART II</w:t>
      </w:r>
    </w:p>
    <w:p>
      <w:pPr>
        <w:spacing w:after="0" w:line="18" w:lineRule="exact"/>
        <w:rPr>
          <w:sz w:val="20"/>
          <w:szCs w:val="20"/>
          <w:color w:val="auto"/>
        </w:rPr>
      </w:pPr>
    </w:p>
    <w:p>
      <w:pPr>
        <w:jc w:val="center"/>
        <w:ind w:right="-420"/>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187"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Item 14. Other Expenses of Issuance and Distribution.</w:t>
      </w:r>
    </w:p>
    <w:p>
      <w:pPr>
        <w:spacing w:after="0" w:line="131" w:lineRule="exact"/>
        <w:rPr>
          <w:sz w:val="20"/>
          <w:szCs w:val="20"/>
          <w:color w:val="auto"/>
        </w:rPr>
      </w:pPr>
    </w:p>
    <w:p>
      <w:pPr>
        <w:ind w:left="1160" w:right="1019" w:firstLine="331"/>
        <w:spacing w:after="0" w:line="327" w:lineRule="auto"/>
        <w:rPr>
          <w:sz w:val="20"/>
          <w:szCs w:val="20"/>
          <w:color w:val="auto"/>
        </w:rPr>
      </w:pPr>
      <w:r>
        <w:rPr>
          <w:rFonts w:ascii="Arial" w:cs="Arial" w:eastAsia="Arial" w:hAnsi="Arial"/>
          <w:sz w:val="15"/>
          <w:szCs w:val="15"/>
          <w:color w:val="auto"/>
        </w:rPr>
        <w:t>The following table sets forth the fees and expenses payable by us in connection with the sale of the offered securities being registered hereby, other than underwriting discounts and commissions.</w:t>
      </w:r>
    </w:p>
    <w:p>
      <w:pPr>
        <w:spacing w:after="0" w:line="55" w:lineRule="exact"/>
        <w:rPr>
          <w:sz w:val="20"/>
          <w:szCs w:val="20"/>
          <w:color w:val="auto"/>
        </w:rPr>
      </w:pPr>
    </w:p>
    <w:tbl>
      <w:tblPr>
        <w:tblLayout w:type="fixed"/>
        <w:tblInd w:w="1480" w:type="dxa"/>
        <w:tblCellMar>
          <w:top w:w="0" w:type="dxa"/>
          <w:left w:w="0" w:type="dxa"/>
          <w:bottom w:w="0" w:type="dxa"/>
          <w:right w:w="0" w:type="dxa"/>
        </w:tblCellMar>
      </w:tblPr>
      <w:tr>
        <w:trPr>
          <w:trHeight w:val="157"/>
        </w:trPr>
        <w:tc>
          <w:tcPr>
            <w:tcW w:w="5220" w:type="dxa"/>
            <w:vAlign w:val="bottom"/>
            <w:vMerge w:val="restart"/>
          </w:tcPr>
          <w:p>
            <w:pPr>
              <w:spacing w:after="0"/>
              <w:rPr>
                <w:sz w:val="20"/>
                <w:szCs w:val="20"/>
                <w:color w:val="auto"/>
              </w:rPr>
            </w:pPr>
            <w:r>
              <w:rPr>
                <w:rFonts w:ascii="Arial" w:cs="Arial" w:eastAsia="Arial" w:hAnsi="Arial"/>
                <w:sz w:val="17"/>
                <w:szCs w:val="17"/>
                <w:color w:val="auto"/>
              </w:rPr>
              <w:t>SEC registration fee</w:t>
            </w:r>
          </w:p>
        </w:tc>
        <w:tc>
          <w:tcPr>
            <w:tcW w:w="1300" w:type="dxa"/>
            <w:vAlign w:val="bottom"/>
            <w:vMerge w:val="restart"/>
          </w:tcPr>
          <w:p>
            <w:pPr>
              <w:jc w:val="right"/>
              <w:ind w:right="177"/>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88"/>
        </w:trPr>
        <w:tc>
          <w:tcPr>
            <w:tcW w:w="522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400" w:type="dxa"/>
            <w:vAlign w:val="bottom"/>
            <w:gridSpan w:val="2"/>
            <w:vMerge w:val="restart"/>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35"/>
        </w:trPr>
        <w:tc>
          <w:tcPr>
            <w:tcW w:w="5220" w:type="dxa"/>
            <w:vAlign w:val="bottom"/>
            <w:vMerge w:val="restart"/>
          </w:tcPr>
          <w:p>
            <w:pPr>
              <w:spacing w:after="0"/>
              <w:rPr>
                <w:sz w:val="20"/>
                <w:szCs w:val="20"/>
                <w:color w:val="auto"/>
              </w:rPr>
            </w:pPr>
            <w:r>
              <w:rPr>
                <w:rFonts w:ascii="Arial" w:cs="Arial" w:eastAsia="Arial" w:hAnsi="Arial"/>
                <w:sz w:val="17"/>
                <w:szCs w:val="17"/>
                <w:color w:val="auto"/>
              </w:rPr>
              <w:t>Printing and engraving</w:t>
            </w:r>
          </w:p>
        </w:tc>
        <w:tc>
          <w:tcPr>
            <w:tcW w:w="130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522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400" w:type="dxa"/>
            <w:vAlign w:val="bottom"/>
            <w:gridSpan w:val="2"/>
            <w:vMerge w:val="restart"/>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37"/>
        </w:trPr>
        <w:tc>
          <w:tcPr>
            <w:tcW w:w="5220" w:type="dxa"/>
            <w:vAlign w:val="bottom"/>
            <w:vMerge w:val="restart"/>
          </w:tcPr>
          <w:p>
            <w:pPr>
              <w:spacing w:after="0"/>
              <w:rPr>
                <w:sz w:val="20"/>
                <w:szCs w:val="20"/>
                <w:color w:val="auto"/>
              </w:rPr>
            </w:pPr>
            <w:r>
              <w:rPr>
                <w:rFonts w:ascii="Arial" w:cs="Arial" w:eastAsia="Arial" w:hAnsi="Arial"/>
                <w:sz w:val="17"/>
                <w:szCs w:val="17"/>
                <w:color w:val="auto"/>
              </w:rPr>
              <w:t>Accounting services</w:t>
            </w:r>
          </w:p>
        </w:tc>
        <w:tc>
          <w:tcPr>
            <w:tcW w:w="130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522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400" w:type="dxa"/>
            <w:vAlign w:val="bottom"/>
            <w:gridSpan w:val="2"/>
            <w:vMerge w:val="restart"/>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9"/>
        </w:trPr>
        <w:tc>
          <w:tcPr>
            <w:tcW w:w="5220" w:type="dxa"/>
            <w:vAlign w:val="bottom"/>
            <w:vMerge w:val="restart"/>
          </w:tcPr>
          <w:p>
            <w:pPr>
              <w:spacing w:after="0"/>
              <w:rPr>
                <w:sz w:val="20"/>
                <w:szCs w:val="20"/>
                <w:color w:val="auto"/>
              </w:rPr>
            </w:pPr>
            <w:r>
              <w:rPr>
                <w:rFonts w:ascii="Arial" w:cs="Arial" w:eastAsia="Arial" w:hAnsi="Arial"/>
                <w:sz w:val="17"/>
                <w:szCs w:val="17"/>
                <w:color w:val="auto"/>
              </w:rPr>
              <w:t>Legal fees of registrant’s counsel</w:t>
            </w:r>
          </w:p>
        </w:tc>
        <w:tc>
          <w:tcPr>
            <w:tcW w:w="130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522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400" w:type="dxa"/>
            <w:vAlign w:val="bottom"/>
            <w:gridSpan w:val="2"/>
            <w:vMerge w:val="restart"/>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9"/>
        </w:trPr>
        <w:tc>
          <w:tcPr>
            <w:tcW w:w="5220" w:type="dxa"/>
            <w:vAlign w:val="bottom"/>
            <w:vMerge w:val="restart"/>
          </w:tcPr>
          <w:p>
            <w:pPr>
              <w:spacing w:after="0"/>
              <w:rPr>
                <w:sz w:val="20"/>
                <w:szCs w:val="20"/>
                <w:color w:val="auto"/>
              </w:rPr>
            </w:pPr>
            <w:r>
              <w:rPr>
                <w:rFonts w:ascii="Arial" w:cs="Arial" w:eastAsia="Arial" w:hAnsi="Arial"/>
                <w:sz w:val="17"/>
                <w:szCs w:val="17"/>
                <w:color w:val="auto"/>
              </w:rPr>
              <w:t>Transfer agent’s, trustee’s and depositary’s fees and expenses</w:t>
            </w:r>
          </w:p>
        </w:tc>
        <w:tc>
          <w:tcPr>
            <w:tcW w:w="130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522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400" w:type="dxa"/>
            <w:vAlign w:val="bottom"/>
            <w:gridSpan w:val="2"/>
            <w:vMerge w:val="restart"/>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9"/>
        </w:trPr>
        <w:tc>
          <w:tcPr>
            <w:tcW w:w="5220" w:type="dxa"/>
            <w:vAlign w:val="bottom"/>
            <w:vMerge w:val="restart"/>
          </w:tcPr>
          <w:p>
            <w:pPr>
              <w:spacing w:after="0"/>
              <w:rPr>
                <w:sz w:val="20"/>
                <w:szCs w:val="20"/>
                <w:color w:val="auto"/>
              </w:rPr>
            </w:pPr>
            <w:r>
              <w:rPr>
                <w:rFonts w:ascii="Arial" w:cs="Arial" w:eastAsia="Arial" w:hAnsi="Arial"/>
                <w:sz w:val="17"/>
                <w:szCs w:val="17"/>
                <w:color w:val="auto"/>
              </w:rPr>
              <w:t>Miscellaneous</w:t>
            </w:r>
          </w:p>
        </w:tc>
        <w:tc>
          <w:tcPr>
            <w:tcW w:w="130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522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5220" w:type="dxa"/>
            <w:vAlign w:val="bottom"/>
            <w:vMerge w:val="restart"/>
            <w:shd w:val="clear" w:color="auto" w:fill="CCEEFF"/>
          </w:tcPr>
          <w:p>
            <w:pPr>
              <w:ind w:left="160"/>
              <w:spacing w:after="0"/>
              <w:rPr>
                <w:sz w:val="20"/>
                <w:szCs w:val="20"/>
                <w:color w:val="auto"/>
              </w:rPr>
            </w:pPr>
            <w:r>
              <w:rPr>
                <w:rFonts w:ascii="Arial" w:cs="Arial" w:eastAsia="Arial" w:hAnsi="Arial"/>
                <w:sz w:val="17"/>
                <w:szCs w:val="17"/>
                <w:color w:val="auto"/>
              </w:rPr>
              <w:t>Total</w:t>
            </w:r>
          </w:p>
        </w:tc>
        <w:tc>
          <w:tcPr>
            <w:tcW w:w="1300" w:type="dxa"/>
            <w:vAlign w:val="bottom"/>
            <w:vMerge w:val="restart"/>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88"/>
        </w:trPr>
        <w:tc>
          <w:tcPr>
            <w:tcW w:w="5220" w:type="dxa"/>
            <w:vAlign w:val="bottom"/>
            <w:vMerge w:val="continue"/>
            <w:shd w:val="clear" w:color="auto" w:fill="CCEEFF"/>
          </w:tcPr>
          <w:p>
            <w:pPr>
              <w:spacing w:after="0"/>
              <w:rPr>
                <w:sz w:val="7"/>
                <w:szCs w:val="7"/>
                <w:color w:val="auto"/>
              </w:rPr>
            </w:pPr>
          </w:p>
        </w:tc>
        <w:tc>
          <w:tcPr>
            <w:tcW w:w="1300" w:type="dxa"/>
            <w:vAlign w:val="bottom"/>
            <w:vMerge w:val="continue"/>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-1047115</wp:posOffset>
            </wp:positionV>
            <wp:extent cx="4363085" cy="1181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extLst>
                        <a:ext uri="{28A0092B-C50C-407E-A947-70E740481C1C}"/>
                      </a:extLst>
                    </a:blip>
                    <a:srcRect/>
                    <a:stretch>
                      <a:fillRect/>
                    </a:stretch>
                  </pic:blipFill>
                  <pic:spPr bwMode="auto">
                    <a:xfrm>
                      <a:off x="0" y="0"/>
                      <a:ext cx="4363085" cy="118110"/>
                    </a:xfrm>
                    <a:prstGeom prst="rect">
                      <a:avLst/>
                    </a:prstGeom>
                    <a:noFill/>
                  </pic:spPr>
                </pic:pic>
              </a:graphicData>
            </a:graphic>
          </wp:anchor>
        </w:drawing>
        <w:drawing>
          <wp:anchor simplePos="0" relativeHeight="251657728" behindDoc="1" locked="0" layoutInCell="0" allowOverlap="1">
            <wp:simplePos x="0" y="0"/>
            <wp:positionH relativeFrom="column">
              <wp:posOffset>941070</wp:posOffset>
            </wp:positionH>
            <wp:positionV relativeFrom="paragraph">
              <wp:posOffset>-779145</wp:posOffset>
            </wp:positionV>
            <wp:extent cx="4363085" cy="1498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a:extLst>
                        <a:ext uri="{28A0092B-C50C-407E-A947-70E740481C1C}"/>
                      </a:extLst>
                    </a:blip>
                    <a:srcRect/>
                    <a:stretch>
                      <a:fillRect/>
                    </a:stretch>
                  </pic:blipFill>
                  <pic:spPr bwMode="auto">
                    <a:xfrm>
                      <a:off x="0" y="0"/>
                      <a:ext cx="4363085" cy="149860"/>
                    </a:xfrm>
                    <a:prstGeom prst="rect">
                      <a:avLst/>
                    </a:prstGeom>
                    <a:noFill/>
                  </pic:spPr>
                </pic:pic>
              </a:graphicData>
            </a:graphic>
          </wp:anchor>
        </w:drawing>
        <w:drawing>
          <wp:anchor simplePos="0" relativeHeight="251657728" behindDoc="1" locked="0" layoutInCell="0" allowOverlap="1">
            <wp:simplePos x="0" y="0"/>
            <wp:positionH relativeFrom="column">
              <wp:posOffset>941070</wp:posOffset>
            </wp:positionH>
            <wp:positionV relativeFrom="paragraph">
              <wp:posOffset>-471805</wp:posOffset>
            </wp:positionV>
            <wp:extent cx="4363085" cy="1574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4363085" cy="157480"/>
                    </a:xfrm>
                    <a:prstGeom prst="rect">
                      <a:avLst/>
                    </a:prstGeom>
                    <a:noFill/>
                  </pic:spPr>
                </pic:pic>
              </a:graphicData>
            </a:graphic>
          </wp:anchor>
        </w:drawing>
        <w:drawing>
          <wp:anchor simplePos="0" relativeHeight="251657728" behindDoc="1" locked="0" layoutInCell="0" allowOverlap="1">
            <wp:simplePos x="0" y="0"/>
            <wp:positionH relativeFrom="column">
              <wp:posOffset>736600</wp:posOffset>
            </wp:positionH>
            <wp:positionV relativeFrom="paragraph">
              <wp:posOffset>133985</wp:posOffset>
            </wp:positionV>
            <wp:extent cx="113411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315" w:lineRule="exact"/>
        <w:rPr>
          <w:sz w:val="20"/>
          <w:szCs w:val="20"/>
          <w:color w:val="auto"/>
        </w:rPr>
      </w:pPr>
    </w:p>
    <w:p>
      <w:pPr>
        <w:ind w:left="1480" w:hanging="326"/>
        <w:spacing w:after="0"/>
        <w:tabs>
          <w:tab w:leader="none" w:pos="14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Deferred in reliance upon Rules 456(b) and 457(r) under the Securities Act.</w:t>
      </w:r>
    </w:p>
    <w:p>
      <w:pPr>
        <w:spacing w:after="0" w:line="77" w:lineRule="exact"/>
        <w:rPr>
          <w:rFonts w:ascii="Arial" w:cs="Arial" w:eastAsia="Arial" w:hAnsi="Arial"/>
          <w:sz w:val="17"/>
          <w:szCs w:val="17"/>
          <w:color w:val="auto"/>
        </w:rPr>
      </w:pPr>
    </w:p>
    <w:p>
      <w:pPr>
        <w:jc w:val="both"/>
        <w:ind w:left="1480" w:right="759" w:hanging="326"/>
        <w:spacing w:after="0" w:line="327" w:lineRule="auto"/>
        <w:tabs>
          <w:tab w:leader="none" w:pos="14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These fees and expenses are calculated based on the securities offered and the number of issuances and accordingly are not estimated at this time and will be reflected in the applicable prospectus supplement.</w:t>
      </w:r>
    </w:p>
    <w:p>
      <w:pPr>
        <w:spacing w:after="0" w:line="121"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Item 15. Indemnification of Directors and Officers.</w:t>
      </w:r>
    </w:p>
    <w:p>
      <w:pPr>
        <w:spacing w:after="0" w:line="131" w:lineRule="exact"/>
        <w:rPr>
          <w:sz w:val="20"/>
          <w:szCs w:val="20"/>
          <w:color w:val="auto"/>
        </w:rPr>
      </w:pPr>
    </w:p>
    <w:p>
      <w:pPr>
        <w:ind w:left="1160" w:right="1179" w:firstLine="331"/>
        <w:spacing w:after="0" w:line="260" w:lineRule="auto"/>
        <w:rPr>
          <w:sz w:val="20"/>
          <w:szCs w:val="20"/>
          <w:color w:val="auto"/>
        </w:rPr>
      </w:pPr>
      <w:r>
        <w:rPr>
          <w:rFonts w:ascii="Arial" w:cs="Arial" w:eastAsia="Arial" w:hAnsi="Arial"/>
          <w:sz w:val="17"/>
          <w:szCs w:val="17"/>
          <w:color w:val="auto"/>
        </w:rPr>
        <w:t>The following summary is qualified in its entirety by reference to the complete Delaware General Corporation Law (“DGCL”) and the registrant’s certificate of incorporation and bylaws.</w:t>
      </w:r>
    </w:p>
    <w:p>
      <w:pPr>
        <w:spacing w:after="0" w:line="110" w:lineRule="exact"/>
        <w:rPr>
          <w:sz w:val="20"/>
          <w:szCs w:val="20"/>
          <w:color w:val="auto"/>
        </w:rPr>
      </w:pPr>
    </w:p>
    <w:p>
      <w:pPr>
        <w:ind w:left="1160" w:right="799" w:firstLine="331"/>
        <w:spacing w:after="0" w:line="279" w:lineRule="auto"/>
        <w:rPr>
          <w:sz w:val="20"/>
          <w:szCs w:val="20"/>
          <w:color w:val="auto"/>
        </w:rPr>
      </w:pPr>
      <w:r>
        <w:rPr>
          <w:rFonts w:ascii="Arial" w:cs="Arial" w:eastAsia="Arial" w:hAnsi="Arial"/>
          <w:sz w:val="15"/>
          <w:szCs w:val="15"/>
          <w:color w:val="auto"/>
        </w:rPr>
        <w:t xml:space="preserve">Section 145 of the DGCL provides, generally, that a corporation shall have the power to indemnify any person who was or is a party or is threatened to be made a party to any threatened, pending or completed action, suit or proceeding (except actions by or in the right of the corporation) by reason of the fact that such person is or was a director, officer, employee or agent of the corporation against all expenses,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his or her conduct was unlawful. A corporation may similarly indemnify such person for expenses actually and reasonably incurred by such person in connection with the defense or settlement of any action or suit by or in the right of the corporation,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person acted in good faith and in a manner he or she reasonably believed to be in or not opposed to the best interests of the corporation, and, in the case of claims, issues and matters as to which such person shall have been adjudged liable to the corporation,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 court shall have determined, upon application, that, despite the adjudication of liability but in view of all of the circumstances of the case, such person is fairly and reasonably entitled to indemnity for such expenses which such court shall deem proper.</w:t>
      </w:r>
    </w:p>
    <w:p>
      <w:pPr>
        <w:spacing w:after="0" w:line="304" w:lineRule="exact"/>
        <w:rPr>
          <w:sz w:val="20"/>
          <w:szCs w:val="20"/>
          <w:color w:val="auto"/>
        </w:rPr>
      </w:pPr>
    </w:p>
    <w:p>
      <w:pPr>
        <w:ind w:left="1160" w:right="779" w:firstLine="331"/>
        <w:spacing w:after="0" w:line="283" w:lineRule="auto"/>
        <w:rPr>
          <w:sz w:val="20"/>
          <w:szCs w:val="20"/>
          <w:color w:val="auto"/>
        </w:rPr>
      </w:pPr>
      <w:r>
        <w:rPr>
          <w:rFonts w:ascii="Arial" w:cs="Arial" w:eastAsia="Arial" w:hAnsi="Arial"/>
          <w:sz w:val="15"/>
          <w:szCs w:val="15"/>
          <w:color w:val="auto"/>
        </w:rPr>
        <w:t xml:space="preserve">Section 102(b)(7) of the DGCL provides, generally, that our certificate of incorporation may contain a provision eliminating or limiting the personal liability of a director to the corporation or its shareholders for monetary damages for breach of fiduciary duty as a director,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provision may not eliminate or limit the liability of a director (i) for any breach of the director’s duty of loyalty to the corporation or its shareholders, (ii) for acts or omissions not in good faith or which involve intentional misconduct or a knowing violation of law, (iii) under section 174 of the DGCL, or (iv) for any transaction from which the director derived an improper personal benefit. No such provision may eliminate or limit the liability of a director for any act or omission occurring prior to the date when such provision became effective.</w:t>
      </w:r>
    </w:p>
    <w:p>
      <w:pPr>
        <w:spacing w:after="0" w:line="85" w:lineRule="exact"/>
        <w:rPr>
          <w:sz w:val="20"/>
          <w:szCs w:val="20"/>
          <w:color w:val="auto"/>
        </w:rPr>
      </w:pPr>
    </w:p>
    <w:p>
      <w:pPr>
        <w:ind w:left="1160" w:right="759" w:firstLine="331"/>
        <w:spacing w:after="0" w:line="247" w:lineRule="auto"/>
        <w:rPr>
          <w:sz w:val="20"/>
          <w:szCs w:val="20"/>
          <w:color w:val="auto"/>
        </w:rPr>
      </w:pPr>
      <w:r>
        <w:rPr>
          <w:rFonts w:ascii="Arial" w:cs="Arial" w:eastAsia="Arial" w:hAnsi="Arial"/>
          <w:sz w:val="17"/>
          <w:szCs w:val="17"/>
          <w:color w:val="auto"/>
        </w:rPr>
        <w:t>The Registrant’s certificate of incorporation provides that it will indemnify each person who was or is a party or threatened to be made a party to any threatened, pending or completed action, suit or proceeding whether civil, criminal, administrative or investigative (other than an action by or in the right of us) by reason of the fact that he or she is or was, or has agreed to become, the Registrant’s director or officer, or is or</w:t>
      </w:r>
    </w:p>
    <w:p>
      <w:pPr>
        <w:spacing w:after="0" w:line="358"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225425</wp:posOffset>
            </wp:positionV>
            <wp:extent cx="6271260"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extLst>
                    </a:blip>
                    <a:srcRect/>
                    <a:stretch>
                      <a:fillRect/>
                    </a:stretch>
                  </pic:blipFill>
                  <pic:spPr bwMode="auto">
                    <a:xfrm>
                      <a:off x="0" y="0"/>
                      <a:ext cx="6271260" cy="41275"/>
                    </a:xfrm>
                    <a:prstGeom prst="rect">
                      <a:avLst/>
                    </a:prstGeom>
                    <a:noFill/>
                  </pic:spPr>
                </pic:pic>
              </a:graphicData>
            </a:graphic>
          </wp:anchor>
        </w:drawing>
      </w:r>
    </w:p>
    <w:p>
      <w:pPr>
        <w:sectPr>
          <w:pgSz w:w="11900" w:h="16838" w:orient="portrait"/>
          <w:cols w:equalWidth="0" w:num="1">
            <w:col w:w="9439"/>
          </w:cols>
          <w:pgMar w:left="1020" w:top="131" w:right="1440" w:bottom="1440" w:gutter="0" w:footer="0" w:header="0"/>
        </w:sectPr>
      </w:pPr>
    </w:p>
    <w:bookmarkStart w:id="37" w:name="page38"/>
    <w:bookmarkEnd w:id="37"/>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160" w:right="759"/>
        <w:spacing w:after="0" w:line="266" w:lineRule="auto"/>
        <w:rPr>
          <w:sz w:val="20"/>
          <w:szCs w:val="20"/>
          <w:color w:val="auto"/>
        </w:rPr>
      </w:pPr>
      <w:r>
        <w:rPr>
          <w:rFonts w:ascii="Arial" w:cs="Arial" w:eastAsia="Arial" w:hAnsi="Arial"/>
          <w:sz w:val="15"/>
          <w:szCs w:val="15"/>
          <w:color w:val="auto"/>
        </w:rPr>
        <w:t>was serving, or has agreed to serve, at the Registrant’s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the Registrant’s best interests, and, with respect to any criminal action or proceeding, he or she had no reasonable cause to believe his or her conduct was unlawful.</w:t>
      </w:r>
    </w:p>
    <w:p>
      <w:pPr>
        <w:spacing w:after="0" w:line="83" w:lineRule="exact"/>
        <w:rPr>
          <w:sz w:val="20"/>
          <w:szCs w:val="20"/>
          <w:color w:val="auto"/>
        </w:rPr>
      </w:pPr>
    </w:p>
    <w:p>
      <w:pPr>
        <w:ind w:left="1160" w:right="759" w:firstLine="331"/>
        <w:spacing w:after="0" w:line="262" w:lineRule="auto"/>
        <w:rPr>
          <w:sz w:val="20"/>
          <w:szCs w:val="20"/>
          <w:color w:val="auto"/>
        </w:rPr>
      </w:pPr>
      <w:r>
        <w:rPr>
          <w:rFonts w:ascii="Arial" w:cs="Arial" w:eastAsia="Arial" w:hAnsi="Arial"/>
          <w:sz w:val="15"/>
          <w:szCs w:val="15"/>
          <w:color w:val="auto"/>
        </w:rPr>
        <w:t>The Registrant’s certificate of incorporation also provides that the Registrant will indemnify any Indemnitee who was or is a party to an action or suit by or in the right of the Registrant to procure a judgment in its favor by reason of the fact that the Indemnitee is or was, or has agreed to become, the Registrant’s director or officer, or is or was serving, or has agreed to serve, at the Registrant’s request as a director, officer, partner, employee or trustee or,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the Registrant’s best interests, except that no indemnification shall be made with respect to any claim, issue or matter as to which such person shall have been adjudged to be liable to the Registrant,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the Registrant against all expenses (including attorneys’ fees) actually and reasonably incurred by him or her or on his or her behalf in connection therewith. If the Registrant does not assume the defense, expenses must be advanced to an Indemnitee under certain circumstances.</w:t>
      </w:r>
    </w:p>
    <w:p>
      <w:pPr>
        <w:spacing w:after="0" w:line="286" w:lineRule="exact"/>
        <w:rPr>
          <w:sz w:val="20"/>
          <w:szCs w:val="20"/>
          <w:color w:val="auto"/>
        </w:rPr>
      </w:pPr>
    </w:p>
    <w:p>
      <w:pPr>
        <w:ind w:left="1160" w:right="799" w:firstLine="331"/>
        <w:spacing w:after="0" w:line="232" w:lineRule="auto"/>
        <w:rPr>
          <w:sz w:val="20"/>
          <w:szCs w:val="20"/>
          <w:color w:val="auto"/>
        </w:rPr>
      </w:pPr>
      <w:r>
        <w:rPr>
          <w:rFonts w:ascii="Arial" w:cs="Arial" w:eastAsia="Arial" w:hAnsi="Arial"/>
          <w:sz w:val="17"/>
          <w:szCs w:val="17"/>
          <w:color w:val="auto"/>
        </w:rPr>
        <w:t>The Registrant has entered into indemnification agreements with its directors and executive officers. In general, these agreements provide that the Registrant will indemnify the director or executive officer to the fullest extent permitted by law for claims arising in his or her capacity as a director or officer of the Registrant or in connection with their service at the Registrant’s request for another corporation or entity. The indemnification agreements also provide for procedures that will apply in the event that a director or executive officer makes a claim for indemnification and establish certain presumptions that are favorable to the director or executive officer.</w:t>
      </w:r>
    </w:p>
    <w:p>
      <w:pPr>
        <w:spacing w:after="0" w:line="116" w:lineRule="exact"/>
        <w:rPr>
          <w:sz w:val="20"/>
          <w:szCs w:val="20"/>
          <w:color w:val="auto"/>
        </w:rPr>
      </w:pPr>
    </w:p>
    <w:p>
      <w:pPr>
        <w:jc w:val="both"/>
        <w:ind w:left="1160" w:right="1139" w:firstLine="331"/>
        <w:spacing w:after="0" w:line="237" w:lineRule="auto"/>
        <w:rPr>
          <w:sz w:val="20"/>
          <w:szCs w:val="20"/>
          <w:color w:val="auto"/>
        </w:rPr>
      </w:pPr>
      <w:r>
        <w:rPr>
          <w:rFonts w:ascii="Arial" w:cs="Arial" w:eastAsia="Arial" w:hAnsi="Arial"/>
          <w:sz w:val="17"/>
          <w:szCs w:val="17"/>
          <w:color w:val="auto"/>
        </w:rPr>
        <w:t>The Registrant maintains a general liability insurance policy which covers certain liabilities of its directors and officers arising out of claims based on acts or omissions in their capacities as directors or officers.</w:t>
      </w:r>
    </w:p>
    <w:p>
      <w:pPr>
        <w:spacing w:after="0" w:line="173"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Item 16. Exhibits.</w:t>
      </w:r>
    </w:p>
    <w:p>
      <w:pPr>
        <w:spacing w:after="0" w:line="201" w:lineRule="exact"/>
        <w:rPr>
          <w:sz w:val="20"/>
          <w:szCs w:val="20"/>
          <w:color w:val="auto"/>
        </w:rPr>
      </w:pPr>
    </w:p>
    <w:p>
      <w:pPr>
        <w:jc w:val="center"/>
        <w:ind w:right="-400"/>
        <w:spacing w:after="0"/>
        <w:rPr>
          <w:sz w:val="20"/>
          <w:szCs w:val="20"/>
          <w:color w:val="auto"/>
        </w:rPr>
      </w:pPr>
      <w:r>
        <w:rPr>
          <w:rFonts w:ascii="Arial" w:cs="Arial" w:eastAsia="Arial" w:hAnsi="Arial"/>
          <w:sz w:val="17"/>
          <w:szCs w:val="17"/>
          <w:b w:val="1"/>
          <w:bCs w:val="1"/>
          <w:u w:val="single" w:color="auto"/>
          <w:color w:val="auto"/>
        </w:rPr>
        <w:t>Exhibit Index</w:t>
      </w:r>
    </w:p>
    <w:p>
      <w:pPr>
        <w:spacing w:after="0" w:line="173" w:lineRule="exact"/>
        <w:rPr>
          <w:sz w:val="20"/>
          <w:szCs w:val="20"/>
          <w:color w:val="auto"/>
        </w:rPr>
      </w:pPr>
    </w:p>
    <w:p>
      <w:pPr>
        <w:ind w:left="1160"/>
        <w:spacing w:after="0"/>
        <w:tabs>
          <w:tab w:leader="none" w:pos="502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736600</wp:posOffset>
            </wp:positionH>
            <wp:positionV relativeFrom="paragraph">
              <wp:posOffset>27940</wp:posOffset>
            </wp:positionV>
            <wp:extent cx="478853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extLst>
                        <a:ext uri="{28A0092B-C50C-407E-A947-70E740481C1C}"/>
                      </a:extLst>
                    </a:blip>
                    <a:srcRect/>
                    <a:stretch>
                      <a:fillRect/>
                    </a:stretch>
                  </pic:blipFill>
                  <pic:spPr bwMode="auto">
                    <a:xfrm>
                      <a:off x="0" y="0"/>
                      <a:ext cx="4788535" cy="7620"/>
                    </a:xfrm>
                    <a:prstGeom prst="rect">
                      <a:avLst/>
                    </a:prstGeom>
                    <a:noFill/>
                  </pic:spPr>
                </pic:pic>
              </a:graphicData>
            </a:graphic>
          </wp:anchor>
        </w:drawing>
      </w:r>
    </w:p>
    <w:p>
      <w:pPr>
        <w:spacing w:after="0" w:line="61" w:lineRule="exact"/>
        <w:rPr>
          <w:sz w:val="20"/>
          <w:szCs w:val="20"/>
          <w:color w:val="auto"/>
        </w:rPr>
      </w:pPr>
    </w:p>
    <w:p>
      <w:pPr>
        <w:ind w:left="1240"/>
        <w:spacing w:after="0"/>
        <w:tabs>
          <w:tab w:leader="none" w:pos="198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color w:val="auto"/>
        </w:rPr>
        <w:t>Form of Underwriting Agreement</w:t>
      </w:r>
    </w:p>
    <w:p>
      <w:pPr>
        <w:spacing w:after="0" w:line="28" w:lineRule="exact"/>
        <w:rPr>
          <w:sz w:val="20"/>
          <w:szCs w:val="20"/>
          <w:color w:val="auto"/>
        </w:rPr>
      </w:pPr>
    </w:p>
    <w:p>
      <w:pPr>
        <w:ind w:left="2000" w:right="779" w:hanging="760"/>
        <w:spacing w:after="0" w:line="252" w:lineRule="auto"/>
        <w:tabs>
          <w:tab w:leader="none" w:pos="1980" w:val="left"/>
        </w:tabs>
        <w:rPr>
          <w:rFonts w:ascii="Arial" w:cs="Arial" w:eastAsia="Arial" w:hAnsi="Arial"/>
          <w:sz w:val="17"/>
          <w:szCs w:val="17"/>
          <w:u w:val="single" w:color="auto"/>
          <w:color w:val="0000EE"/>
        </w:rPr>
      </w:pPr>
      <w:r>
        <w:rPr>
          <w:rFonts w:ascii="Arial" w:cs="Arial" w:eastAsia="Arial" w:hAnsi="Arial"/>
          <w:sz w:val="17"/>
          <w:szCs w:val="17"/>
          <w:color w:val="auto"/>
        </w:rPr>
        <w:t>4.1</w:t>
      </w:r>
      <w:r>
        <w:rPr>
          <w:sz w:val="20"/>
          <w:szCs w:val="20"/>
          <w:color w:val="auto"/>
        </w:rPr>
        <w:tab/>
      </w:r>
      <w:hyperlink r:id="rId78">
        <w:r>
          <w:rPr>
            <w:rFonts w:ascii="Arial" w:cs="Arial" w:eastAsia="Arial" w:hAnsi="Arial"/>
            <w:sz w:val="17"/>
            <w:szCs w:val="17"/>
            <w:u w:val="single" w:color="auto"/>
            <w:color w:val="0000EE"/>
          </w:rPr>
          <w:t>Restated Certificate of Incorporation of the Registrant, as amended on April 16, 2019</w:t>
        </w:r>
      </w:hyperlink>
      <w:r>
        <w:rPr>
          <w:rFonts w:ascii="Arial" w:cs="Arial" w:eastAsia="Arial" w:hAnsi="Arial"/>
          <w:sz w:val="17"/>
          <w:szCs w:val="17"/>
          <w:u w:val="single" w:color="auto"/>
          <w:color w:val="0000EE"/>
        </w:rPr>
        <w:t xml:space="preserve"> </w:t>
      </w:r>
      <w:hyperlink r:id="rId78">
        <w:r>
          <w:rPr>
            <w:rFonts w:ascii="Arial" w:cs="Arial" w:eastAsia="Arial" w:hAnsi="Arial"/>
            <w:sz w:val="17"/>
            <w:szCs w:val="17"/>
            <w:u w:val="single" w:color="auto"/>
            <w:color w:val="0000EE"/>
          </w:rPr>
          <w:t>(incorporated by reference to Exhibit 3.1 of the Registrant’s Annual Report on Form 10-K, filed</w:t>
        </w:r>
      </w:hyperlink>
      <w:r>
        <w:rPr>
          <w:rFonts w:ascii="Arial" w:cs="Arial" w:eastAsia="Arial" w:hAnsi="Arial"/>
          <w:sz w:val="17"/>
          <w:szCs w:val="17"/>
          <w:u w:val="single" w:color="auto"/>
          <w:color w:val="0000EE"/>
        </w:rPr>
        <w:t xml:space="preserve"> </w:t>
      </w:r>
      <w:hyperlink r:id="rId78">
        <w:r>
          <w:rPr>
            <w:rFonts w:ascii="Arial" w:cs="Arial" w:eastAsia="Arial" w:hAnsi="Arial"/>
            <w:sz w:val="17"/>
            <w:szCs w:val="17"/>
            <w:u w:val="single" w:color="auto"/>
            <w:color w:val="0000EE"/>
          </w:rPr>
          <w:t>on March 4, 2021 (File No. 001-36080))</w:t>
        </w:r>
      </w:hyperlink>
    </w:p>
    <w:p>
      <w:pPr>
        <w:spacing w:after="0" w:line="29" w:lineRule="exact"/>
        <w:rPr>
          <w:rFonts w:ascii="Arial" w:cs="Arial" w:eastAsia="Arial" w:hAnsi="Arial"/>
          <w:sz w:val="17"/>
          <w:szCs w:val="17"/>
          <w:u w:val="single" w:color="auto"/>
          <w:color w:val="0000EE"/>
        </w:rPr>
      </w:pPr>
    </w:p>
    <w:p>
      <w:pPr>
        <w:jc w:val="both"/>
        <w:ind w:left="2000" w:right="759" w:hanging="760"/>
        <w:spacing w:after="0" w:line="252" w:lineRule="auto"/>
        <w:tabs>
          <w:tab w:leader="none" w:pos="1980" w:val="left"/>
        </w:tabs>
        <w:rPr>
          <w:rFonts w:ascii="Arial" w:cs="Arial" w:eastAsia="Arial" w:hAnsi="Arial"/>
          <w:sz w:val="17"/>
          <w:szCs w:val="17"/>
          <w:u w:val="single" w:color="auto"/>
          <w:color w:val="0000EE"/>
        </w:rPr>
      </w:pPr>
      <w:r>
        <w:rPr>
          <w:rFonts w:ascii="Arial" w:cs="Arial" w:eastAsia="Arial" w:hAnsi="Arial"/>
          <w:sz w:val="17"/>
          <w:szCs w:val="17"/>
          <w:color w:val="auto"/>
        </w:rPr>
        <w:t>4.2</w:t>
      </w:r>
      <w:r>
        <w:rPr>
          <w:sz w:val="20"/>
          <w:szCs w:val="20"/>
          <w:color w:val="auto"/>
        </w:rPr>
        <w:tab/>
      </w:r>
      <w:hyperlink r:id="rId79">
        <w:r>
          <w:rPr>
            <w:rFonts w:ascii="Arial" w:cs="Arial" w:eastAsia="Arial" w:hAnsi="Arial"/>
            <w:sz w:val="17"/>
            <w:szCs w:val="17"/>
            <w:u w:val="single" w:color="auto"/>
            <w:color w:val="0000EE"/>
          </w:rPr>
          <w:t>Amended and Restated Bylaws of the Registrant (incorporated by reference to Exhibit 3.4 of the</w:t>
        </w:r>
      </w:hyperlink>
      <w:r>
        <w:rPr>
          <w:rFonts w:ascii="Arial" w:cs="Arial" w:eastAsia="Arial" w:hAnsi="Arial"/>
          <w:sz w:val="17"/>
          <w:szCs w:val="17"/>
          <w:u w:val="single" w:color="auto"/>
          <w:color w:val="0000EE"/>
        </w:rPr>
        <w:t xml:space="preserve"> </w:t>
      </w:r>
      <w:hyperlink r:id="rId79">
        <w:r>
          <w:rPr>
            <w:rFonts w:ascii="Arial" w:cs="Arial" w:eastAsia="Arial" w:hAnsi="Arial"/>
            <w:sz w:val="17"/>
            <w:szCs w:val="17"/>
            <w:u w:val="single" w:color="auto"/>
            <w:color w:val="0000EE"/>
          </w:rPr>
          <w:t>Registrant’s Registration Statement on Form S-1, as amended, filed on September 9, 2013 (File</w:t>
        </w:r>
      </w:hyperlink>
      <w:r>
        <w:rPr>
          <w:rFonts w:ascii="Arial" w:cs="Arial" w:eastAsia="Arial" w:hAnsi="Arial"/>
          <w:sz w:val="17"/>
          <w:szCs w:val="17"/>
          <w:u w:val="single" w:color="auto"/>
          <w:color w:val="0000EE"/>
        </w:rPr>
        <w:t xml:space="preserve"> </w:t>
      </w:r>
      <w:hyperlink r:id="rId79">
        <w:r>
          <w:rPr>
            <w:rFonts w:ascii="Arial" w:cs="Arial" w:eastAsia="Arial" w:hAnsi="Arial"/>
            <w:sz w:val="17"/>
            <w:szCs w:val="17"/>
            <w:u w:val="single" w:color="auto"/>
            <w:color w:val="0000EE"/>
          </w:rPr>
          <w:t>No. 333-190643))</w:t>
        </w:r>
      </w:hyperlink>
    </w:p>
    <w:p>
      <w:pPr>
        <w:spacing w:after="0" w:line="42" w:lineRule="exact"/>
        <w:rPr>
          <w:rFonts w:ascii="Arial" w:cs="Arial" w:eastAsia="Arial" w:hAnsi="Arial"/>
          <w:sz w:val="17"/>
          <w:szCs w:val="17"/>
          <w:u w:val="single" w:color="auto"/>
          <w:color w:val="0000EE"/>
        </w:rPr>
      </w:pPr>
    </w:p>
    <w:p>
      <w:pPr>
        <w:ind w:left="1240"/>
        <w:spacing w:after="0"/>
        <w:tabs>
          <w:tab w:leader="none" w:pos="1980" w:val="left"/>
        </w:tabs>
        <w:rPr>
          <w:rFonts w:ascii="Arial" w:cs="Arial" w:eastAsia="Arial" w:hAnsi="Arial"/>
          <w:sz w:val="15"/>
          <w:szCs w:val="15"/>
          <w:u w:val="single" w:color="auto"/>
          <w:color w:val="0000EE"/>
        </w:rPr>
      </w:pPr>
      <w:r>
        <w:rPr>
          <w:rFonts w:ascii="Arial" w:cs="Arial" w:eastAsia="Arial" w:hAnsi="Arial"/>
          <w:sz w:val="17"/>
          <w:szCs w:val="17"/>
          <w:color w:val="auto"/>
        </w:rPr>
        <w:t>4.3</w:t>
      </w:r>
      <w:r>
        <w:rPr>
          <w:sz w:val="20"/>
          <w:szCs w:val="20"/>
          <w:color w:val="auto"/>
        </w:rPr>
        <w:tab/>
      </w:r>
      <w:hyperlink w:anchor="page44">
        <w:r>
          <w:rPr>
            <w:rFonts w:ascii="Arial" w:cs="Arial" w:eastAsia="Arial" w:hAnsi="Arial"/>
            <w:sz w:val="15"/>
            <w:szCs w:val="15"/>
            <w:u w:val="single" w:color="auto"/>
            <w:color w:val="0000EE"/>
          </w:rPr>
          <w:t>Form of Senior Indenture</w:t>
        </w:r>
      </w:hyperlink>
    </w:p>
    <w:p>
      <w:pPr>
        <w:spacing w:after="0" w:line="40" w:lineRule="exact"/>
        <w:rPr>
          <w:rFonts w:ascii="Arial" w:cs="Arial" w:eastAsia="Arial" w:hAnsi="Arial"/>
          <w:sz w:val="17"/>
          <w:szCs w:val="17"/>
          <w:u w:val="single" w:color="auto"/>
          <w:color w:val="0000EE"/>
        </w:rPr>
      </w:pPr>
    </w:p>
    <w:p>
      <w:pPr>
        <w:ind w:left="1240"/>
        <w:spacing w:after="0"/>
        <w:tabs>
          <w:tab w:leader="none" w:pos="1980" w:val="left"/>
        </w:tabs>
        <w:rPr>
          <w:rFonts w:ascii="Arial" w:cs="Arial" w:eastAsia="Arial" w:hAnsi="Arial"/>
          <w:sz w:val="15"/>
          <w:szCs w:val="15"/>
          <w:u w:val="single" w:color="auto"/>
          <w:color w:val="0000EE"/>
        </w:rPr>
      </w:pPr>
      <w:r>
        <w:rPr>
          <w:rFonts w:ascii="Arial" w:cs="Arial" w:eastAsia="Arial" w:hAnsi="Arial"/>
          <w:sz w:val="17"/>
          <w:szCs w:val="17"/>
          <w:color w:val="auto"/>
        </w:rPr>
        <w:t>4.4</w:t>
      </w:r>
      <w:r>
        <w:rPr>
          <w:sz w:val="20"/>
          <w:szCs w:val="20"/>
          <w:color w:val="auto"/>
        </w:rPr>
        <w:tab/>
      </w:r>
      <w:hyperlink w:anchor="page103">
        <w:r>
          <w:rPr>
            <w:rFonts w:ascii="Arial" w:cs="Arial" w:eastAsia="Arial" w:hAnsi="Arial"/>
            <w:sz w:val="15"/>
            <w:szCs w:val="15"/>
            <w:u w:val="single" w:color="auto"/>
            <w:color w:val="0000EE"/>
          </w:rPr>
          <w:t>Form of Subordinated Indenture</w:t>
        </w:r>
      </w:hyperlink>
    </w:p>
    <w:p>
      <w:pPr>
        <w:spacing w:after="0" w:line="40" w:lineRule="exact"/>
        <w:rPr>
          <w:rFonts w:ascii="Arial" w:cs="Arial" w:eastAsia="Arial" w:hAnsi="Arial"/>
          <w:sz w:val="17"/>
          <w:szCs w:val="17"/>
          <w:u w:val="single" w:color="auto"/>
          <w:color w:val="0000EE"/>
        </w:rPr>
      </w:pPr>
    </w:p>
    <w:p>
      <w:pPr>
        <w:ind w:left="1240"/>
        <w:spacing w:after="0"/>
        <w:tabs>
          <w:tab w:leader="none" w:pos="1980" w:val="left"/>
        </w:tabs>
        <w:rPr>
          <w:rFonts w:ascii="Arial" w:cs="Arial" w:eastAsia="Arial" w:hAnsi="Arial"/>
          <w:sz w:val="15"/>
          <w:szCs w:val="15"/>
          <w:u w:val="single" w:color="auto"/>
          <w:color w:val="0000EE"/>
        </w:rPr>
      </w:pPr>
      <w:r>
        <w:rPr>
          <w:rFonts w:ascii="Arial" w:cs="Arial" w:eastAsia="Arial" w:hAnsi="Arial"/>
          <w:sz w:val="17"/>
          <w:szCs w:val="17"/>
          <w:color w:val="auto"/>
        </w:rPr>
        <w:t>4.5</w:t>
      </w:r>
      <w:r>
        <w:rPr>
          <w:sz w:val="20"/>
          <w:szCs w:val="20"/>
          <w:color w:val="auto"/>
        </w:rPr>
        <w:tab/>
      </w:r>
      <w:hyperlink w:anchor="page164">
        <w:r>
          <w:rPr>
            <w:rFonts w:ascii="Arial" w:cs="Arial" w:eastAsia="Arial" w:hAnsi="Arial"/>
            <w:sz w:val="15"/>
            <w:szCs w:val="15"/>
            <w:u w:val="single" w:color="auto"/>
            <w:color w:val="0000EE"/>
          </w:rPr>
          <w:t>Form of Senior Note</w:t>
        </w:r>
      </w:hyperlink>
    </w:p>
    <w:p>
      <w:pPr>
        <w:spacing w:after="0" w:line="40" w:lineRule="exact"/>
        <w:rPr>
          <w:rFonts w:ascii="Arial" w:cs="Arial" w:eastAsia="Arial" w:hAnsi="Arial"/>
          <w:sz w:val="17"/>
          <w:szCs w:val="17"/>
          <w:u w:val="single" w:color="auto"/>
          <w:color w:val="0000EE"/>
        </w:rPr>
      </w:pPr>
    </w:p>
    <w:p>
      <w:pPr>
        <w:ind w:left="1240"/>
        <w:spacing w:after="0"/>
        <w:tabs>
          <w:tab w:leader="none" w:pos="1980" w:val="left"/>
        </w:tabs>
        <w:rPr>
          <w:rFonts w:ascii="Arial" w:cs="Arial" w:eastAsia="Arial" w:hAnsi="Arial"/>
          <w:sz w:val="15"/>
          <w:szCs w:val="15"/>
          <w:u w:val="single" w:color="auto"/>
          <w:color w:val="0000EE"/>
        </w:rPr>
      </w:pPr>
      <w:r>
        <w:rPr>
          <w:rFonts w:ascii="Arial" w:cs="Arial" w:eastAsia="Arial" w:hAnsi="Arial"/>
          <w:sz w:val="17"/>
          <w:szCs w:val="17"/>
          <w:color w:val="auto"/>
        </w:rPr>
        <w:t>4.6</w:t>
      </w:r>
      <w:r>
        <w:rPr>
          <w:sz w:val="20"/>
          <w:szCs w:val="20"/>
          <w:color w:val="auto"/>
        </w:rPr>
        <w:tab/>
      </w:r>
      <w:hyperlink w:anchor="page172">
        <w:r>
          <w:rPr>
            <w:rFonts w:ascii="Arial" w:cs="Arial" w:eastAsia="Arial" w:hAnsi="Arial"/>
            <w:sz w:val="15"/>
            <w:szCs w:val="15"/>
            <w:u w:val="single" w:color="auto"/>
            <w:color w:val="0000EE"/>
          </w:rPr>
          <w:t>Form of Subordinated Note</w:t>
        </w:r>
      </w:hyperlink>
    </w:p>
    <w:p>
      <w:pPr>
        <w:spacing w:after="0" w:line="363" w:lineRule="exact"/>
        <w:rPr>
          <w:rFonts w:ascii="Arial" w:cs="Arial" w:eastAsia="Arial" w:hAnsi="Arial"/>
          <w:sz w:val="17"/>
          <w:szCs w:val="17"/>
          <w:u w:val="single" w:color="auto"/>
          <w:color w:val="0000EE"/>
        </w:rPr>
      </w:pPr>
    </w:p>
    <w:p>
      <w:pPr>
        <w:jc w:val="center"/>
        <w:ind w:right="-360"/>
        <w:spacing w:after="0"/>
        <w:rPr>
          <w:sz w:val="20"/>
          <w:szCs w:val="20"/>
          <w:color w:val="auto"/>
        </w:rPr>
      </w:pPr>
      <w:r>
        <w:rPr>
          <w:rFonts w:ascii="Arial" w:cs="Arial" w:eastAsia="Arial" w:hAnsi="Arial"/>
          <w:sz w:val="17"/>
          <w:szCs w:val="17"/>
          <w:color w:val="auto"/>
        </w:rPr>
        <w:t>II-2</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-8255</wp:posOffset>
            </wp:positionH>
            <wp:positionV relativeFrom="paragraph">
              <wp:posOffset>225425</wp:posOffset>
            </wp:positionV>
            <wp:extent cx="6271260"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0">
                      <a:extLst>
                        <a:ext uri="{28A0092B-C50C-407E-A947-70E740481C1C}"/>
                      </a:extLst>
                    </a:blip>
                    <a:srcRect/>
                    <a:stretch>
                      <a:fillRect/>
                    </a:stretch>
                  </pic:blipFill>
                  <pic:spPr bwMode="auto">
                    <a:xfrm>
                      <a:off x="0" y="0"/>
                      <a:ext cx="6271260" cy="41275"/>
                    </a:xfrm>
                    <a:prstGeom prst="rect">
                      <a:avLst/>
                    </a:prstGeom>
                    <a:noFill/>
                  </pic:spPr>
                </pic:pic>
              </a:graphicData>
            </a:graphic>
          </wp:anchor>
        </w:drawing>
      </w:r>
    </w:p>
    <w:p>
      <w:pPr>
        <w:sectPr>
          <w:pgSz w:w="11900" w:h="16838" w:orient="portrait"/>
          <w:cols w:equalWidth="0" w:num="1">
            <w:col w:w="9439"/>
          </w:cols>
          <w:pgMar w:left="1020" w:top="132" w:right="1440"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58"/>
        </w:trPr>
        <w:tc>
          <w:tcPr>
            <w:tcW w:w="1800" w:type="dxa"/>
            <w:vAlign w:val="bottom"/>
            <w:gridSpan w:val="2"/>
          </w:tcPr>
          <w:p>
            <w:pPr>
              <w:jc w:val="right"/>
              <w:ind w:right="400"/>
              <w:spacing w:after="0"/>
              <w:rPr>
                <w:rFonts w:ascii="Arial" w:cs="Arial" w:eastAsia="Arial" w:hAnsi="Arial"/>
                <w:sz w:val="13"/>
                <w:szCs w:val="13"/>
                <w:color w:val="003366"/>
                <w:w w:val="99"/>
              </w:rPr>
            </w:pPr>
            <w:hyperlink w:anchor="page2">
              <w:r>
                <w:rPr>
                  <w:rFonts w:ascii="Arial" w:cs="Arial" w:eastAsia="Arial" w:hAnsi="Arial"/>
                  <w:sz w:val="13"/>
                  <w:szCs w:val="13"/>
                  <w:color w:val="003366"/>
                  <w:w w:val="99"/>
                </w:rPr>
                <w:t>TABLE OF CONTENTS</w:t>
              </w:r>
            </w:hyperlink>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893"/>
        </w:trPr>
        <w:tc>
          <w:tcPr>
            <w:tcW w:w="18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Exhibit No.</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0" w:type="dxa"/>
            <w:vAlign w:val="bottom"/>
            <w:gridSpan w:val="5"/>
          </w:tcPr>
          <w:p>
            <w:pPr>
              <w:ind w:left="2340"/>
              <w:spacing w:after="0"/>
              <w:rPr>
                <w:sz w:val="20"/>
                <w:szCs w:val="20"/>
                <w:color w:val="auto"/>
              </w:rPr>
            </w:pPr>
            <w:r>
              <w:rPr>
                <w:rFonts w:ascii="Arial" w:cs="Arial" w:eastAsia="Arial" w:hAnsi="Arial"/>
                <w:sz w:val="13"/>
                <w:szCs w:val="13"/>
                <w:b w:val="1"/>
                <w:bCs w:val="1"/>
                <w:color w:val="auto"/>
              </w:rPr>
              <w:t>Description</w:t>
            </w:r>
          </w:p>
        </w:tc>
      </w:tr>
      <w:tr>
        <w:trPr>
          <w:trHeight w:val="24"/>
        </w:trPr>
        <w:tc>
          <w:tcPr>
            <w:tcW w:w="11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6"/>
        </w:trPr>
        <w:tc>
          <w:tcPr>
            <w:tcW w:w="1800" w:type="dxa"/>
            <w:vAlign w:val="bottom"/>
            <w:gridSpan w:val="2"/>
          </w:tcPr>
          <w:p>
            <w:pPr>
              <w:jc w:val="right"/>
              <w:ind w:right="260"/>
              <w:spacing w:after="0"/>
              <w:rPr>
                <w:sz w:val="20"/>
                <w:szCs w:val="20"/>
                <w:color w:val="auto"/>
              </w:rPr>
            </w:pPr>
            <w:r>
              <w:rPr>
                <w:rFonts w:ascii="Arial" w:cs="Arial" w:eastAsia="Arial" w:hAnsi="Arial"/>
                <w:sz w:val="17"/>
                <w:szCs w:val="17"/>
                <w:color w:val="auto"/>
              </w:rPr>
              <w:t>4.7*</w:t>
            </w:r>
          </w:p>
        </w:tc>
        <w:tc>
          <w:tcPr>
            <w:tcW w:w="200" w:type="dxa"/>
            <w:vAlign w:val="bottom"/>
          </w:tcPr>
          <w:p>
            <w:pPr>
              <w:spacing w:after="0"/>
              <w:rPr>
                <w:sz w:val="19"/>
                <w:szCs w:val="19"/>
                <w:color w:val="auto"/>
              </w:rPr>
            </w:pPr>
          </w:p>
        </w:tc>
        <w:tc>
          <w:tcPr>
            <w:tcW w:w="6700" w:type="dxa"/>
            <w:vAlign w:val="bottom"/>
            <w:gridSpan w:val="6"/>
          </w:tcPr>
          <w:p>
            <w:pPr>
              <w:spacing w:after="0"/>
              <w:rPr>
                <w:sz w:val="20"/>
                <w:szCs w:val="20"/>
                <w:color w:val="auto"/>
              </w:rPr>
            </w:pPr>
            <w:r>
              <w:rPr>
                <w:rFonts w:ascii="Arial" w:cs="Arial" w:eastAsia="Arial" w:hAnsi="Arial"/>
                <w:sz w:val="17"/>
                <w:szCs w:val="17"/>
                <w:color w:val="auto"/>
              </w:rPr>
              <w:t>Form of Deposit Agreement</w:t>
            </w:r>
          </w:p>
        </w:tc>
      </w:tr>
      <w:tr>
        <w:trPr>
          <w:trHeight w:val="236"/>
        </w:trPr>
        <w:tc>
          <w:tcPr>
            <w:tcW w:w="1800" w:type="dxa"/>
            <w:vAlign w:val="bottom"/>
            <w:gridSpan w:val="2"/>
          </w:tcPr>
          <w:p>
            <w:pPr>
              <w:jc w:val="right"/>
              <w:ind w:right="260"/>
              <w:spacing w:after="0"/>
              <w:rPr>
                <w:sz w:val="20"/>
                <w:szCs w:val="20"/>
                <w:color w:val="auto"/>
              </w:rPr>
            </w:pPr>
            <w:r>
              <w:rPr>
                <w:rFonts w:ascii="Arial" w:cs="Arial" w:eastAsia="Arial" w:hAnsi="Arial"/>
                <w:sz w:val="17"/>
                <w:szCs w:val="17"/>
                <w:color w:val="auto"/>
              </w:rPr>
              <w:t>4.8*</w:t>
            </w:r>
          </w:p>
        </w:tc>
        <w:tc>
          <w:tcPr>
            <w:tcW w:w="200" w:type="dxa"/>
            <w:vAlign w:val="bottom"/>
          </w:tcPr>
          <w:p>
            <w:pPr>
              <w:spacing w:after="0"/>
              <w:rPr>
                <w:sz w:val="20"/>
                <w:szCs w:val="20"/>
                <w:color w:val="auto"/>
              </w:rPr>
            </w:pPr>
          </w:p>
        </w:tc>
        <w:tc>
          <w:tcPr>
            <w:tcW w:w="6700" w:type="dxa"/>
            <w:vAlign w:val="bottom"/>
            <w:gridSpan w:val="6"/>
          </w:tcPr>
          <w:p>
            <w:pPr>
              <w:spacing w:after="0"/>
              <w:rPr>
                <w:sz w:val="20"/>
                <w:szCs w:val="20"/>
                <w:color w:val="auto"/>
              </w:rPr>
            </w:pPr>
            <w:r>
              <w:rPr>
                <w:rFonts w:ascii="Arial" w:cs="Arial" w:eastAsia="Arial" w:hAnsi="Arial"/>
                <w:sz w:val="17"/>
                <w:szCs w:val="17"/>
                <w:color w:val="auto"/>
              </w:rPr>
              <w:t>Form of Warrant Agreement</w:t>
            </w:r>
          </w:p>
        </w:tc>
      </w:tr>
      <w:tr>
        <w:trPr>
          <w:trHeight w:val="236"/>
        </w:trPr>
        <w:tc>
          <w:tcPr>
            <w:tcW w:w="1800" w:type="dxa"/>
            <w:vAlign w:val="bottom"/>
            <w:gridSpan w:val="2"/>
          </w:tcPr>
          <w:p>
            <w:pPr>
              <w:jc w:val="right"/>
              <w:ind w:right="260"/>
              <w:spacing w:after="0"/>
              <w:rPr>
                <w:sz w:val="20"/>
                <w:szCs w:val="20"/>
                <w:color w:val="auto"/>
              </w:rPr>
            </w:pPr>
            <w:r>
              <w:rPr>
                <w:rFonts w:ascii="Arial" w:cs="Arial" w:eastAsia="Arial" w:hAnsi="Arial"/>
                <w:sz w:val="17"/>
                <w:szCs w:val="17"/>
                <w:color w:val="auto"/>
              </w:rPr>
              <w:t>4.9*</w:t>
            </w:r>
          </w:p>
        </w:tc>
        <w:tc>
          <w:tcPr>
            <w:tcW w:w="200" w:type="dxa"/>
            <w:vAlign w:val="bottom"/>
          </w:tcPr>
          <w:p>
            <w:pPr>
              <w:spacing w:after="0"/>
              <w:rPr>
                <w:sz w:val="20"/>
                <w:szCs w:val="20"/>
                <w:color w:val="auto"/>
              </w:rPr>
            </w:pPr>
          </w:p>
        </w:tc>
        <w:tc>
          <w:tcPr>
            <w:tcW w:w="6700" w:type="dxa"/>
            <w:vAlign w:val="bottom"/>
            <w:gridSpan w:val="6"/>
          </w:tcPr>
          <w:p>
            <w:pPr>
              <w:spacing w:after="0"/>
              <w:rPr>
                <w:sz w:val="20"/>
                <w:szCs w:val="20"/>
                <w:color w:val="auto"/>
              </w:rPr>
            </w:pPr>
            <w:r>
              <w:rPr>
                <w:rFonts w:ascii="Arial" w:cs="Arial" w:eastAsia="Arial" w:hAnsi="Arial"/>
                <w:sz w:val="17"/>
                <w:szCs w:val="17"/>
                <w:color w:val="auto"/>
              </w:rPr>
              <w:t>Form of Subscription Rights Agreement</w:t>
            </w:r>
          </w:p>
        </w:tc>
      </w:tr>
      <w:tr>
        <w:trPr>
          <w:trHeight w:val="236"/>
        </w:trPr>
        <w:tc>
          <w:tcPr>
            <w:tcW w:w="1800" w:type="dxa"/>
            <w:vAlign w:val="bottom"/>
            <w:gridSpan w:val="2"/>
          </w:tcPr>
          <w:p>
            <w:pPr>
              <w:jc w:val="right"/>
              <w:ind w:right="180"/>
              <w:spacing w:after="0"/>
              <w:rPr>
                <w:sz w:val="20"/>
                <w:szCs w:val="20"/>
                <w:color w:val="auto"/>
              </w:rPr>
            </w:pPr>
            <w:r>
              <w:rPr>
                <w:rFonts w:ascii="Arial" w:cs="Arial" w:eastAsia="Arial" w:hAnsi="Arial"/>
                <w:sz w:val="17"/>
                <w:szCs w:val="17"/>
                <w:color w:val="auto"/>
              </w:rPr>
              <w:t>4.10*</w:t>
            </w:r>
          </w:p>
        </w:tc>
        <w:tc>
          <w:tcPr>
            <w:tcW w:w="200" w:type="dxa"/>
            <w:vAlign w:val="bottom"/>
          </w:tcPr>
          <w:p>
            <w:pPr>
              <w:spacing w:after="0"/>
              <w:rPr>
                <w:sz w:val="20"/>
                <w:szCs w:val="20"/>
                <w:color w:val="auto"/>
              </w:rPr>
            </w:pPr>
          </w:p>
        </w:tc>
        <w:tc>
          <w:tcPr>
            <w:tcW w:w="6700" w:type="dxa"/>
            <w:vAlign w:val="bottom"/>
            <w:gridSpan w:val="6"/>
          </w:tcPr>
          <w:p>
            <w:pPr>
              <w:spacing w:after="0"/>
              <w:rPr>
                <w:sz w:val="20"/>
                <w:szCs w:val="20"/>
                <w:color w:val="auto"/>
              </w:rPr>
            </w:pPr>
            <w:r>
              <w:rPr>
                <w:rFonts w:ascii="Arial" w:cs="Arial" w:eastAsia="Arial" w:hAnsi="Arial"/>
                <w:sz w:val="17"/>
                <w:szCs w:val="17"/>
                <w:color w:val="auto"/>
              </w:rPr>
              <w:t>Form of Unit Agreement</w:t>
            </w:r>
          </w:p>
        </w:tc>
      </w:tr>
      <w:tr>
        <w:trPr>
          <w:trHeight w:val="212"/>
        </w:trPr>
        <w:tc>
          <w:tcPr>
            <w:tcW w:w="1800" w:type="dxa"/>
            <w:vAlign w:val="bottom"/>
            <w:gridSpan w:val="2"/>
          </w:tcPr>
          <w:p>
            <w:pPr>
              <w:jc w:val="right"/>
              <w:ind w:right="360"/>
              <w:spacing w:after="0"/>
              <w:rPr>
                <w:sz w:val="20"/>
                <w:szCs w:val="20"/>
                <w:color w:val="auto"/>
              </w:rPr>
            </w:pPr>
            <w:r>
              <w:rPr>
                <w:rFonts w:ascii="Arial" w:cs="Arial" w:eastAsia="Arial" w:hAnsi="Arial"/>
                <w:sz w:val="17"/>
                <w:szCs w:val="17"/>
                <w:color w:val="auto"/>
              </w:rPr>
              <w:t>5.1</w:t>
            </w:r>
          </w:p>
        </w:tc>
        <w:tc>
          <w:tcPr>
            <w:tcW w:w="200" w:type="dxa"/>
            <w:vAlign w:val="bottom"/>
          </w:tcPr>
          <w:p>
            <w:pPr>
              <w:spacing w:after="0"/>
              <w:rPr>
                <w:sz w:val="18"/>
                <w:szCs w:val="18"/>
                <w:color w:val="auto"/>
              </w:rPr>
            </w:pPr>
          </w:p>
        </w:tc>
        <w:tc>
          <w:tcPr>
            <w:tcW w:w="3880" w:type="dxa"/>
            <w:vAlign w:val="bottom"/>
            <w:tcBorders>
              <w:bottom w:val="single" w:sz="8" w:color="0000EE"/>
            </w:tcBorders>
            <w:gridSpan w:val="2"/>
          </w:tcPr>
          <w:p>
            <w:pPr>
              <w:spacing w:after="0"/>
              <w:rPr>
                <w:rFonts w:ascii="Arial" w:cs="Arial" w:eastAsia="Arial" w:hAnsi="Arial"/>
                <w:sz w:val="17"/>
                <w:szCs w:val="17"/>
                <w:color w:val="0000EE"/>
                <w:w w:val="95"/>
              </w:rPr>
            </w:pPr>
            <w:hyperlink w:anchor="page180">
              <w:r>
                <w:rPr>
                  <w:rFonts w:ascii="Arial" w:cs="Arial" w:eastAsia="Arial" w:hAnsi="Arial"/>
                  <w:sz w:val="17"/>
                  <w:szCs w:val="17"/>
                  <w:color w:val="0000EE"/>
                  <w:w w:val="95"/>
                </w:rPr>
                <w:t>Opinion of Wilmer Cutler Pickering Hale and Dorr LLP</w:t>
              </w:r>
            </w:hyperlink>
          </w:p>
        </w:tc>
        <w:tc>
          <w:tcPr>
            <w:tcW w:w="2820" w:type="dxa"/>
            <w:vAlign w:val="bottom"/>
            <w:gridSpan w:val="4"/>
          </w:tcPr>
          <w:p>
            <w:pPr>
              <w:spacing w:after="0"/>
              <w:rPr>
                <w:sz w:val="18"/>
                <w:szCs w:val="18"/>
                <w:color w:val="auto"/>
              </w:rPr>
            </w:pPr>
          </w:p>
        </w:tc>
      </w:tr>
      <w:tr>
        <w:trPr>
          <w:trHeight w:val="216"/>
        </w:trPr>
        <w:tc>
          <w:tcPr>
            <w:tcW w:w="1800" w:type="dxa"/>
            <w:vAlign w:val="bottom"/>
            <w:gridSpan w:val="2"/>
          </w:tcPr>
          <w:p>
            <w:pPr>
              <w:jc w:val="right"/>
              <w:ind w:right="340"/>
              <w:spacing w:after="0"/>
              <w:rPr>
                <w:sz w:val="20"/>
                <w:szCs w:val="20"/>
                <w:color w:val="auto"/>
              </w:rPr>
            </w:pPr>
            <w:r>
              <w:rPr>
                <w:rFonts w:ascii="Arial" w:cs="Arial" w:eastAsia="Arial" w:hAnsi="Arial"/>
                <w:sz w:val="17"/>
                <w:szCs w:val="17"/>
                <w:color w:val="auto"/>
              </w:rPr>
              <w:t>23.1</w:t>
            </w:r>
          </w:p>
        </w:tc>
        <w:tc>
          <w:tcPr>
            <w:tcW w:w="200" w:type="dxa"/>
            <w:vAlign w:val="bottom"/>
          </w:tcPr>
          <w:p>
            <w:pPr>
              <w:spacing w:after="0"/>
              <w:rPr>
                <w:sz w:val="18"/>
                <w:szCs w:val="18"/>
                <w:color w:val="auto"/>
              </w:rPr>
            </w:pPr>
          </w:p>
        </w:tc>
        <w:tc>
          <w:tcPr>
            <w:tcW w:w="6000" w:type="dxa"/>
            <w:vAlign w:val="bottom"/>
            <w:tcBorders>
              <w:bottom w:val="single" w:sz="8" w:color="0000EE"/>
            </w:tcBorders>
            <w:gridSpan w:val="5"/>
          </w:tcPr>
          <w:p>
            <w:pPr>
              <w:spacing w:after="0"/>
              <w:rPr>
                <w:rFonts w:ascii="Arial" w:cs="Arial" w:eastAsia="Arial" w:hAnsi="Arial"/>
                <w:sz w:val="17"/>
                <w:szCs w:val="17"/>
                <w:color w:val="0000EE"/>
                <w:w w:val="93"/>
              </w:rPr>
            </w:pPr>
            <w:hyperlink w:anchor="page187">
              <w:r>
                <w:rPr>
                  <w:rFonts w:ascii="Arial" w:cs="Arial" w:eastAsia="Arial" w:hAnsi="Arial"/>
                  <w:sz w:val="17"/>
                  <w:szCs w:val="17"/>
                  <w:color w:val="0000EE"/>
                  <w:w w:val="93"/>
                </w:rPr>
                <w:t>Consent of Ernst &amp; Young, LLP, independent registered public accounting firm for the</w:t>
              </w:r>
            </w:hyperlink>
          </w:p>
        </w:tc>
        <w:tc>
          <w:tcPr>
            <w:tcW w:w="700" w:type="dxa"/>
            <w:vAlign w:val="bottom"/>
          </w:tcPr>
          <w:p>
            <w:pPr>
              <w:spacing w:after="0"/>
              <w:rPr>
                <w:sz w:val="18"/>
                <w:szCs w:val="18"/>
                <w:color w:val="auto"/>
              </w:rPr>
            </w:pPr>
          </w:p>
        </w:tc>
      </w:tr>
      <w:tr>
        <w:trPr>
          <w:trHeight w:val="178"/>
        </w:trPr>
        <w:tc>
          <w:tcPr>
            <w:tcW w:w="1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700" w:type="dxa"/>
            <w:vAlign w:val="bottom"/>
            <w:gridSpan w:val="6"/>
          </w:tcPr>
          <w:p>
            <w:pPr>
              <w:spacing w:after="0" w:line="179" w:lineRule="exact"/>
              <w:rPr>
                <w:rFonts w:ascii="Arial" w:cs="Arial" w:eastAsia="Arial" w:hAnsi="Arial"/>
                <w:sz w:val="17"/>
                <w:szCs w:val="17"/>
                <w:color w:val="0000EE"/>
              </w:rPr>
            </w:pPr>
            <w:hyperlink w:anchor="page187">
              <w:r>
                <w:rPr>
                  <w:rFonts w:ascii="Arial" w:cs="Arial" w:eastAsia="Arial" w:hAnsi="Arial"/>
                  <w:sz w:val="17"/>
                  <w:szCs w:val="17"/>
                  <w:color w:val="0000EE"/>
                </w:rPr>
                <w:t>Registrant</w:t>
              </w:r>
            </w:hyperlink>
          </w:p>
        </w:tc>
      </w:tr>
      <w:tr>
        <w:trPr>
          <w:trHeight w:val="20"/>
        </w:trPr>
        <w:tc>
          <w:tcPr>
            <w:tcW w:w="1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40"/>
        </w:trPr>
        <w:tc>
          <w:tcPr>
            <w:tcW w:w="1800" w:type="dxa"/>
            <w:vAlign w:val="bottom"/>
            <w:gridSpan w:val="2"/>
          </w:tcPr>
          <w:p>
            <w:pPr>
              <w:jc w:val="right"/>
              <w:ind w:right="340"/>
              <w:spacing w:after="0"/>
              <w:rPr>
                <w:sz w:val="20"/>
                <w:szCs w:val="20"/>
                <w:color w:val="auto"/>
              </w:rPr>
            </w:pPr>
            <w:r>
              <w:rPr>
                <w:rFonts w:ascii="Arial" w:cs="Arial" w:eastAsia="Arial" w:hAnsi="Arial"/>
                <w:sz w:val="17"/>
                <w:szCs w:val="17"/>
                <w:color w:val="auto"/>
              </w:rPr>
              <w:t>23.2</w:t>
            </w:r>
          </w:p>
        </w:tc>
        <w:tc>
          <w:tcPr>
            <w:tcW w:w="200" w:type="dxa"/>
            <w:vAlign w:val="bottom"/>
          </w:tcPr>
          <w:p>
            <w:pPr>
              <w:spacing w:after="0"/>
              <w:rPr>
                <w:sz w:val="20"/>
                <w:szCs w:val="20"/>
                <w:color w:val="auto"/>
              </w:rPr>
            </w:pPr>
          </w:p>
        </w:tc>
        <w:tc>
          <w:tcPr>
            <w:tcW w:w="5640" w:type="dxa"/>
            <w:vAlign w:val="bottom"/>
            <w:tcBorders>
              <w:bottom w:val="single" w:sz="8" w:color="0000EE"/>
            </w:tcBorders>
            <w:gridSpan w:val="3"/>
          </w:tcPr>
          <w:p>
            <w:pPr>
              <w:spacing w:after="0"/>
              <w:rPr>
                <w:rFonts w:ascii="Arial" w:cs="Arial" w:eastAsia="Arial" w:hAnsi="Arial"/>
                <w:sz w:val="17"/>
                <w:szCs w:val="17"/>
                <w:color w:val="0000EE"/>
                <w:w w:val="95"/>
              </w:rPr>
            </w:pPr>
            <w:hyperlink w:anchor="page180">
              <w:r>
                <w:rPr>
                  <w:rFonts w:ascii="Arial" w:cs="Arial" w:eastAsia="Arial" w:hAnsi="Arial"/>
                  <w:sz w:val="17"/>
                  <w:szCs w:val="17"/>
                  <w:color w:val="0000EE"/>
                  <w:w w:val="95"/>
                </w:rPr>
                <w:t>Consent of Wilmer Cutler Pickering Hale and Dorr LLP (included in Exhibit 5.1)</w:t>
              </w:r>
            </w:hyperlink>
          </w:p>
        </w:tc>
        <w:tc>
          <w:tcPr>
            <w:tcW w:w="1060" w:type="dxa"/>
            <w:vAlign w:val="bottom"/>
            <w:gridSpan w:val="3"/>
          </w:tcPr>
          <w:p>
            <w:pPr>
              <w:spacing w:after="0"/>
              <w:rPr>
                <w:sz w:val="20"/>
                <w:szCs w:val="20"/>
                <w:color w:val="auto"/>
              </w:rPr>
            </w:pPr>
          </w:p>
        </w:tc>
      </w:tr>
      <w:tr>
        <w:trPr>
          <w:trHeight w:val="228"/>
        </w:trPr>
        <w:tc>
          <w:tcPr>
            <w:tcW w:w="1800" w:type="dxa"/>
            <w:vAlign w:val="bottom"/>
            <w:gridSpan w:val="2"/>
          </w:tcPr>
          <w:p>
            <w:pPr>
              <w:jc w:val="right"/>
              <w:ind w:right="340"/>
              <w:spacing w:after="0"/>
              <w:rPr>
                <w:sz w:val="20"/>
                <w:szCs w:val="20"/>
                <w:color w:val="auto"/>
              </w:rPr>
            </w:pPr>
            <w:r>
              <w:rPr>
                <w:rFonts w:ascii="Arial" w:cs="Arial" w:eastAsia="Arial" w:hAnsi="Arial"/>
                <w:sz w:val="17"/>
                <w:szCs w:val="17"/>
                <w:color w:val="auto"/>
              </w:rPr>
              <w:t>24.1</w:t>
            </w:r>
          </w:p>
        </w:tc>
        <w:tc>
          <w:tcPr>
            <w:tcW w:w="200" w:type="dxa"/>
            <w:vAlign w:val="bottom"/>
          </w:tcPr>
          <w:p>
            <w:pPr>
              <w:spacing w:after="0"/>
              <w:rPr>
                <w:sz w:val="19"/>
                <w:szCs w:val="19"/>
                <w:color w:val="auto"/>
              </w:rPr>
            </w:pPr>
          </w:p>
        </w:tc>
        <w:tc>
          <w:tcPr>
            <w:tcW w:w="6700" w:type="dxa"/>
            <w:vAlign w:val="bottom"/>
            <w:gridSpan w:val="6"/>
          </w:tcPr>
          <w:p>
            <w:pPr>
              <w:spacing w:after="0"/>
              <w:rPr>
                <w:rFonts w:ascii="Arial" w:cs="Arial" w:eastAsia="Arial" w:hAnsi="Arial"/>
                <w:sz w:val="17"/>
                <w:szCs w:val="17"/>
                <w:color w:val="0000EE"/>
              </w:rPr>
            </w:pPr>
            <w:hyperlink w:anchor="page41">
              <w:r>
                <w:rPr>
                  <w:rFonts w:ascii="Arial" w:cs="Arial" w:eastAsia="Arial" w:hAnsi="Arial"/>
                  <w:sz w:val="17"/>
                  <w:szCs w:val="17"/>
                  <w:color w:val="0000EE"/>
                </w:rPr>
                <w:t>Powers of Attorney (included in the signature pages to the Registration Statement)</w:t>
              </w:r>
            </w:hyperlink>
          </w:p>
        </w:tc>
      </w:tr>
      <w:tr>
        <w:trPr>
          <w:trHeight w:val="20"/>
        </w:trPr>
        <w:tc>
          <w:tcPr>
            <w:tcW w:w="1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720" w:type="dxa"/>
            <w:vAlign w:val="bottom"/>
            <w:gridSpan w:val="4"/>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40"/>
        </w:trPr>
        <w:tc>
          <w:tcPr>
            <w:tcW w:w="1800" w:type="dxa"/>
            <w:vAlign w:val="bottom"/>
            <w:gridSpan w:val="2"/>
          </w:tcPr>
          <w:p>
            <w:pPr>
              <w:jc w:val="right"/>
              <w:ind w:right="180"/>
              <w:spacing w:after="0"/>
              <w:rPr>
                <w:sz w:val="20"/>
                <w:szCs w:val="20"/>
                <w:color w:val="auto"/>
              </w:rPr>
            </w:pPr>
            <w:r>
              <w:rPr>
                <w:rFonts w:ascii="Arial" w:cs="Arial" w:eastAsia="Arial" w:hAnsi="Arial"/>
                <w:sz w:val="17"/>
                <w:szCs w:val="17"/>
                <w:color w:val="auto"/>
              </w:rPr>
              <w:t>25.1**</w:t>
            </w:r>
          </w:p>
        </w:tc>
        <w:tc>
          <w:tcPr>
            <w:tcW w:w="200" w:type="dxa"/>
            <w:vAlign w:val="bottom"/>
          </w:tcPr>
          <w:p>
            <w:pPr>
              <w:spacing w:after="0"/>
              <w:rPr>
                <w:sz w:val="20"/>
                <w:szCs w:val="20"/>
                <w:color w:val="auto"/>
              </w:rPr>
            </w:pPr>
          </w:p>
        </w:tc>
        <w:tc>
          <w:tcPr>
            <w:tcW w:w="6700" w:type="dxa"/>
            <w:vAlign w:val="bottom"/>
            <w:gridSpan w:val="6"/>
          </w:tcPr>
          <w:p>
            <w:pPr>
              <w:spacing w:after="0"/>
              <w:rPr>
                <w:sz w:val="20"/>
                <w:szCs w:val="20"/>
                <w:color w:val="auto"/>
              </w:rPr>
            </w:pPr>
            <w:r>
              <w:rPr>
                <w:rFonts w:ascii="Arial" w:cs="Arial" w:eastAsia="Arial" w:hAnsi="Arial"/>
                <w:sz w:val="17"/>
                <w:szCs w:val="17"/>
                <w:color w:val="auto"/>
                <w:w w:val="94"/>
              </w:rPr>
              <w:t>Statement of Eligibility on Form T-1 under the Trust Indenture Act of 1939, as amended, of the</w:t>
            </w:r>
          </w:p>
        </w:tc>
      </w:tr>
      <w:tr>
        <w:trPr>
          <w:trHeight w:val="209"/>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700" w:type="dxa"/>
            <w:vAlign w:val="bottom"/>
            <w:gridSpan w:val="6"/>
          </w:tcPr>
          <w:p>
            <w:pPr>
              <w:spacing w:after="0"/>
              <w:rPr>
                <w:sz w:val="20"/>
                <w:szCs w:val="20"/>
                <w:color w:val="auto"/>
              </w:rPr>
            </w:pPr>
            <w:r>
              <w:rPr>
                <w:rFonts w:ascii="Arial" w:cs="Arial" w:eastAsia="Arial" w:hAnsi="Arial"/>
                <w:sz w:val="17"/>
                <w:szCs w:val="17"/>
                <w:color w:val="auto"/>
              </w:rPr>
              <w:t>Trustee under the Senior Indenture</w:t>
            </w:r>
          </w:p>
        </w:tc>
      </w:tr>
      <w:tr>
        <w:trPr>
          <w:trHeight w:val="237"/>
        </w:trPr>
        <w:tc>
          <w:tcPr>
            <w:tcW w:w="1800" w:type="dxa"/>
            <w:vAlign w:val="bottom"/>
            <w:gridSpan w:val="2"/>
          </w:tcPr>
          <w:p>
            <w:pPr>
              <w:jc w:val="right"/>
              <w:ind w:right="180"/>
              <w:spacing w:after="0"/>
              <w:rPr>
                <w:sz w:val="20"/>
                <w:szCs w:val="20"/>
                <w:color w:val="auto"/>
              </w:rPr>
            </w:pPr>
            <w:r>
              <w:rPr>
                <w:rFonts w:ascii="Arial" w:cs="Arial" w:eastAsia="Arial" w:hAnsi="Arial"/>
                <w:sz w:val="17"/>
                <w:szCs w:val="17"/>
                <w:color w:val="auto"/>
              </w:rPr>
              <w:t>25.2**</w:t>
            </w:r>
          </w:p>
        </w:tc>
        <w:tc>
          <w:tcPr>
            <w:tcW w:w="200" w:type="dxa"/>
            <w:vAlign w:val="bottom"/>
          </w:tcPr>
          <w:p>
            <w:pPr>
              <w:spacing w:after="0"/>
              <w:rPr>
                <w:sz w:val="20"/>
                <w:szCs w:val="20"/>
                <w:color w:val="auto"/>
              </w:rPr>
            </w:pPr>
          </w:p>
        </w:tc>
        <w:tc>
          <w:tcPr>
            <w:tcW w:w="6700" w:type="dxa"/>
            <w:vAlign w:val="bottom"/>
            <w:gridSpan w:val="6"/>
          </w:tcPr>
          <w:p>
            <w:pPr>
              <w:spacing w:after="0"/>
              <w:rPr>
                <w:sz w:val="20"/>
                <w:szCs w:val="20"/>
                <w:color w:val="auto"/>
              </w:rPr>
            </w:pPr>
            <w:r>
              <w:rPr>
                <w:rFonts w:ascii="Arial" w:cs="Arial" w:eastAsia="Arial" w:hAnsi="Arial"/>
                <w:sz w:val="17"/>
                <w:szCs w:val="17"/>
                <w:color w:val="auto"/>
                <w:w w:val="94"/>
              </w:rPr>
              <w:t>Statement of Eligibility on Form T-1 under the Trust Indenture Act of 1939, as amended, of the</w:t>
            </w:r>
          </w:p>
        </w:tc>
      </w:tr>
      <w:tr>
        <w:trPr>
          <w:trHeight w:val="209"/>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700" w:type="dxa"/>
            <w:vAlign w:val="bottom"/>
            <w:gridSpan w:val="6"/>
          </w:tcPr>
          <w:p>
            <w:pPr>
              <w:spacing w:after="0"/>
              <w:rPr>
                <w:sz w:val="20"/>
                <w:szCs w:val="20"/>
                <w:color w:val="auto"/>
              </w:rPr>
            </w:pPr>
            <w:r>
              <w:rPr>
                <w:rFonts w:ascii="Arial" w:cs="Arial" w:eastAsia="Arial" w:hAnsi="Arial"/>
                <w:sz w:val="17"/>
                <w:szCs w:val="17"/>
                <w:color w:val="auto"/>
              </w:rPr>
              <w:t>Trustee under the Subordinated Indenture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736600</wp:posOffset>
            </wp:positionH>
            <wp:positionV relativeFrom="paragraph">
              <wp:posOffset>142875</wp:posOffset>
            </wp:positionV>
            <wp:extent cx="113411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1">
                      <a:extLst>
                        <a:ext uri="{28A0092B-C50C-407E-A947-70E740481C1C}"/>
                      </a:extLst>
                    </a:blip>
                    <a:srcRect/>
                    <a:stretch>
                      <a:fillRect/>
                    </a:stretch>
                  </pic:blipFill>
                  <pic:spPr bwMode="auto">
                    <a:xfrm>
                      <a:off x="0" y="0"/>
                      <a:ext cx="1134110" cy="7620"/>
                    </a:xfrm>
                    <a:prstGeom prst="rect">
                      <a:avLst/>
                    </a:prstGeom>
                    <a:noFill/>
                  </pic:spPr>
                </pic:pic>
              </a:graphicData>
            </a:graphic>
          </wp:anchor>
        </w:drawing>
      </w:r>
    </w:p>
    <w:p>
      <w:pPr>
        <w:spacing w:after="0" w:line="391" w:lineRule="exact"/>
        <w:rPr>
          <w:sz w:val="20"/>
          <w:szCs w:val="20"/>
          <w:color w:val="auto"/>
        </w:rPr>
      </w:pPr>
    </w:p>
    <w:p>
      <w:pPr>
        <w:ind w:left="1480" w:hanging="326"/>
        <w:spacing w:after="0"/>
        <w:tabs>
          <w:tab w:leader="none" w:pos="14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To be filed by amendment or by a Current Report on Form 8-K.</w:t>
      </w:r>
    </w:p>
    <w:p>
      <w:pPr>
        <w:spacing w:after="0" w:line="127" w:lineRule="exact"/>
        <w:rPr>
          <w:sz w:val="20"/>
          <w:szCs w:val="20"/>
          <w:color w:val="auto"/>
        </w:rPr>
      </w:pPr>
    </w:p>
    <w:p>
      <w:pPr>
        <w:ind w:left="1160"/>
        <w:spacing w:after="0"/>
        <w:tabs>
          <w:tab w:leader="none" w:pos="14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To be filed pursuant to Section 305(b)(2) of the Trust Indenture Act of 1939.</w:t>
      </w:r>
    </w:p>
    <w:p>
      <w:pPr>
        <w:spacing w:after="0" w:line="197"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Item 17. Undertakings.</w:t>
      </w:r>
    </w:p>
    <w:p>
      <w:pPr>
        <w:spacing w:after="0" w:line="131"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The undersigned Registrant hereby undertakes:</w:t>
      </w:r>
    </w:p>
    <w:p>
      <w:pPr>
        <w:spacing w:after="0" w:line="127" w:lineRule="exact"/>
        <w:rPr>
          <w:sz w:val="20"/>
          <w:szCs w:val="20"/>
          <w:color w:val="auto"/>
        </w:rPr>
      </w:pPr>
    </w:p>
    <w:p>
      <w:pPr>
        <w:ind w:left="2500" w:right="1219" w:hanging="679"/>
        <w:spacing w:after="0" w:line="260" w:lineRule="auto"/>
        <w:tabs>
          <w:tab w:leader="none" w:pos="2480" w:val="left"/>
        </w:tabs>
        <w:rPr>
          <w:sz w:val="20"/>
          <w:szCs w:val="20"/>
          <w:color w:val="auto"/>
        </w:rPr>
      </w:pPr>
      <w:r>
        <w:rPr>
          <w:rFonts w:ascii="Arial" w:cs="Arial" w:eastAsia="Arial" w:hAnsi="Arial"/>
          <w:sz w:val="17"/>
          <w:szCs w:val="17"/>
          <w:color w:val="auto"/>
        </w:rPr>
        <w:t>(a)(1)</w:t>
      </w:r>
      <w:r>
        <w:rPr>
          <w:sz w:val="20"/>
          <w:szCs w:val="20"/>
          <w:color w:val="auto"/>
        </w:rPr>
        <w:tab/>
      </w:r>
      <w:r>
        <w:rPr>
          <w:rFonts w:ascii="Arial" w:cs="Arial" w:eastAsia="Arial" w:hAnsi="Arial"/>
          <w:sz w:val="17"/>
          <w:szCs w:val="17"/>
          <w:color w:val="auto"/>
        </w:rPr>
        <w:t>To file, during any period in which offers or sales are being made, a post-effective amendment to this registration statement:</w:t>
      </w:r>
    </w:p>
    <w:p>
      <w:pPr>
        <w:spacing w:after="0" w:line="85" w:lineRule="exact"/>
        <w:rPr>
          <w:sz w:val="20"/>
          <w:szCs w:val="20"/>
          <w:color w:val="auto"/>
        </w:rPr>
      </w:pPr>
    </w:p>
    <w:p>
      <w:pPr>
        <w:ind w:left="2800" w:right="759" w:hanging="323"/>
        <w:spacing w:after="0" w:line="260" w:lineRule="auto"/>
        <w:tabs>
          <w:tab w:leader="none" w:pos="28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to include any prospectus required by Section 10(a)(3) of the Securities Act of 1933, as amended (the “Securities Act”);</w:t>
      </w:r>
    </w:p>
    <w:p>
      <w:pPr>
        <w:spacing w:after="0" w:line="97" w:lineRule="exact"/>
        <w:rPr>
          <w:rFonts w:ascii="Arial" w:cs="Arial" w:eastAsia="Arial" w:hAnsi="Arial"/>
          <w:sz w:val="17"/>
          <w:szCs w:val="17"/>
          <w:color w:val="auto"/>
        </w:rPr>
      </w:pPr>
    </w:p>
    <w:p>
      <w:pPr>
        <w:ind w:left="2800" w:right="799" w:hanging="323"/>
        <w:spacing w:after="0" w:line="281" w:lineRule="auto"/>
        <w:tabs>
          <w:tab w:leader="none" w:pos="28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271" w:lineRule="exact"/>
        <w:rPr>
          <w:rFonts w:ascii="Arial" w:cs="Arial" w:eastAsia="Arial" w:hAnsi="Arial"/>
          <w:sz w:val="15"/>
          <w:szCs w:val="15"/>
          <w:color w:val="auto"/>
        </w:rPr>
      </w:pPr>
    </w:p>
    <w:p>
      <w:pPr>
        <w:ind w:left="2800" w:right="1019" w:hanging="323"/>
        <w:spacing w:after="0" w:line="252" w:lineRule="auto"/>
        <w:tabs>
          <w:tab w:leader="none" w:pos="28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to include any material information with respect to the plan of distribution not previously disclosed in this registration statement or any material change to such information in this registration statement;</w:t>
      </w:r>
    </w:p>
    <w:p>
      <w:pPr>
        <w:spacing w:after="0" w:line="116" w:lineRule="exact"/>
        <w:rPr>
          <w:sz w:val="20"/>
          <w:szCs w:val="20"/>
          <w:color w:val="auto"/>
        </w:rPr>
      </w:pPr>
    </w:p>
    <w:p>
      <w:pPr>
        <w:ind w:left="2480" w:right="759"/>
        <w:spacing w:after="0" w:line="232"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paragraphs (a)(1)(i), (a)(1)(ii) and (a)(1)(iii) do not apply if the</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required to be included in a post-effective amendment by those paragraphs is contained in reports filed with or furnished to the Commission by a Registrant pursuant to Section 13 or Section 15(d) of the Securities Exchange Act of 1934, as amended (the “Exchange Act”), that are incorporated by reference in this registration statement, or is contained in a form of prospectus filed pursuant to Rule 424(b) that is part of this registration statement.</w:t>
      </w:r>
    </w:p>
    <w:p>
      <w:pPr>
        <w:spacing w:after="0" w:line="91" w:lineRule="exact"/>
        <w:rPr>
          <w:sz w:val="20"/>
          <w:szCs w:val="20"/>
          <w:color w:val="auto"/>
        </w:rPr>
      </w:pPr>
    </w:p>
    <w:p>
      <w:pPr>
        <w:ind w:left="2140" w:right="939" w:hanging="325"/>
        <w:spacing w:after="0" w:line="252" w:lineRule="auto"/>
        <w:tabs>
          <w:tab w:leader="none" w:pos="21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That, for the purposes of determining any liability under the Securities Act, each such post-effective amendment shall be deemed to be a new registration statement relating to the securities</w:t>
      </w:r>
    </w:p>
    <w:p>
      <w:pPr>
        <w:spacing w:after="0" w:line="339"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225425</wp:posOffset>
            </wp:positionV>
            <wp:extent cx="6271260"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a:extLst>
                        <a:ext uri="{28A0092B-C50C-407E-A947-70E740481C1C}"/>
                      </a:extLst>
                    </a:blip>
                    <a:srcRect/>
                    <a:stretch>
                      <a:fillRect/>
                    </a:stretch>
                  </pic:blipFill>
                  <pic:spPr bwMode="auto">
                    <a:xfrm>
                      <a:off x="0" y="0"/>
                      <a:ext cx="6271260" cy="41275"/>
                    </a:xfrm>
                    <a:prstGeom prst="rect">
                      <a:avLst/>
                    </a:prstGeom>
                    <a:noFill/>
                  </pic:spPr>
                </pic:pic>
              </a:graphicData>
            </a:graphic>
          </wp:anchor>
        </w:drawing>
      </w:r>
    </w:p>
    <w:p>
      <w:pPr>
        <w:sectPr>
          <w:pgSz w:w="11900" w:h="16838" w:orient="portrait"/>
          <w:cols w:equalWidth="0" w:num="1">
            <w:col w:w="9439"/>
          </w:cols>
          <w:pgMar w:left="1020" w:top="132" w:right="1440" w:bottom="1440" w:gutter="0" w:footer="0" w:header="0"/>
        </w:sectPr>
      </w:pPr>
    </w:p>
    <w:bookmarkStart w:id="39" w:name="page40"/>
    <w:bookmarkEnd w:id="39"/>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140" w:right="799"/>
        <w:spacing w:after="0" w:line="260" w:lineRule="auto"/>
        <w:rPr>
          <w:sz w:val="20"/>
          <w:szCs w:val="20"/>
          <w:color w:val="auto"/>
        </w:rPr>
      </w:pPr>
      <w:r>
        <w:rPr>
          <w:rFonts w:ascii="Arial" w:cs="Arial" w:eastAsia="Arial" w:hAnsi="Arial"/>
          <w:sz w:val="17"/>
          <w:szCs w:val="17"/>
          <w:color w:val="auto"/>
        </w:rPr>
        <w:t xml:space="preserve">offered therein, and the offering of such securities at the time shall be deemed to be the initial </w:t>
      </w:r>
      <w:r>
        <w:rPr>
          <w:rFonts w:ascii="Arial" w:cs="Arial" w:eastAsia="Arial" w:hAnsi="Arial"/>
          <w:sz w:val="17"/>
          <w:szCs w:val="17"/>
          <w:i w:val="1"/>
          <w:iCs w:val="1"/>
          <w:color w:val="auto"/>
        </w:rPr>
        <w:t xml:space="preserve">bona fide </w:t>
      </w:r>
      <w:r>
        <w:rPr>
          <w:rFonts w:ascii="Arial" w:cs="Arial" w:eastAsia="Arial" w:hAnsi="Arial"/>
          <w:sz w:val="17"/>
          <w:szCs w:val="17"/>
          <w:color w:val="auto"/>
        </w:rPr>
        <w:t>offering thereof.</w:t>
      </w:r>
    </w:p>
    <w:p>
      <w:pPr>
        <w:spacing w:after="0" w:line="97" w:lineRule="exact"/>
        <w:rPr>
          <w:sz w:val="20"/>
          <w:szCs w:val="20"/>
          <w:color w:val="auto"/>
        </w:rPr>
      </w:pPr>
    </w:p>
    <w:p>
      <w:pPr>
        <w:ind w:left="2140" w:right="1039" w:hanging="325"/>
        <w:spacing w:after="0" w:line="260" w:lineRule="auto"/>
        <w:tabs>
          <w:tab w:leader="none" w:pos="21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To remove from registration by means of a post-effective amendment any of the securities being registered which remain unsold at the termination of the offering.</w:t>
      </w:r>
    </w:p>
    <w:p>
      <w:pPr>
        <w:spacing w:after="0" w:line="109" w:lineRule="exact"/>
        <w:rPr>
          <w:rFonts w:ascii="Arial" w:cs="Arial" w:eastAsia="Arial" w:hAnsi="Arial"/>
          <w:sz w:val="17"/>
          <w:szCs w:val="17"/>
          <w:color w:val="auto"/>
        </w:rPr>
      </w:pPr>
    </w:p>
    <w:p>
      <w:pPr>
        <w:ind w:left="2140" w:hanging="325"/>
        <w:spacing w:after="0"/>
        <w:tabs>
          <w:tab w:leader="none" w:pos="21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Securities Act to any purchaser:</w:t>
      </w:r>
    </w:p>
    <w:p>
      <w:pPr>
        <w:spacing w:after="0" w:line="139" w:lineRule="exact"/>
        <w:rPr>
          <w:rFonts w:ascii="Arial" w:cs="Arial" w:eastAsia="Arial" w:hAnsi="Arial"/>
          <w:sz w:val="17"/>
          <w:szCs w:val="17"/>
          <w:color w:val="auto"/>
        </w:rPr>
      </w:pPr>
    </w:p>
    <w:p>
      <w:pPr>
        <w:jc w:val="both"/>
        <w:ind w:left="2480" w:right="939" w:hanging="334"/>
        <w:spacing w:after="0" w:line="252" w:lineRule="auto"/>
        <w:tabs>
          <w:tab w:leader="none" w:pos="2480" w:val="left"/>
        </w:tabs>
        <w:numPr>
          <w:ilvl w:val="1"/>
          <w:numId w:val="42"/>
        </w:numPr>
        <w:rPr>
          <w:rFonts w:ascii="Arial" w:cs="Arial" w:eastAsia="Arial" w:hAnsi="Arial"/>
          <w:sz w:val="17"/>
          <w:szCs w:val="17"/>
          <w:color w:val="auto"/>
        </w:rPr>
      </w:pPr>
      <w:r>
        <w:rPr>
          <w:rFonts w:ascii="Arial" w:cs="Arial" w:eastAsia="Arial" w:hAnsi="Arial"/>
          <w:sz w:val="17"/>
          <w:szCs w:val="17"/>
          <w:color w:val="auto"/>
        </w:rPr>
        <w:t>each prospectus filed by a Registrant pursuant to Rule 424(b)(3) shall be deemed to be part of the registration statement as of the date the filed prospectus was deemed part of and included in the registration statement; and</w:t>
      </w:r>
    </w:p>
    <w:p>
      <w:pPr>
        <w:spacing w:after="0" w:line="116" w:lineRule="exact"/>
        <w:rPr>
          <w:rFonts w:ascii="Arial" w:cs="Arial" w:eastAsia="Arial" w:hAnsi="Arial"/>
          <w:sz w:val="17"/>
          <w:szCs w:val="17"/>
          <w:color w:val="auto"/>
        </w:rPr>
      </w:pPr>
    </w:p>
    <w:p>
      <w:pPr>
        <w:ind w:left="2480" w:right="759" w:hanging="334"/>
        <w:spacing w:after="0" w:line="279" w:lineRule="auto"/>
        <w:tabs>
          <w:tab w:leader="none" w:pos="2480" w:val="left"/>
        </w:tabs>
        <w:numPr>
          <w:ilvl w:val="1"/>
          <w:numId w:val="42"/>
        </w:numPr>
        <w:rPr>
          <w:rFonts w:ascii="Arial" w:cs="Arial" w:eastAsia="Arial" w:hAnsi="Arial"/>
          <w:sz w:val="15"/>
          <w:szCs w:val="15"/>
          <w:color w:val="auto"/>
        </w:rPr>
      </w:pPr>
      <w:r>
        <w:rPr>
          <w:rFonts w:ascii="Arial" w:cs="Arial" w:eastAsia="Arial" w:hAnsi="Arial"/>
          <w:sz w:val="15"/>
          <w:szCs w:val="15"/>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offering thereof;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no statement made in a registration statement or prospectus that is part of</w:t>
      </w:r>
      <w:r>
        <w:rPr>
          <w:rFonts w:ascii="Arial" w:cs="Arial" w:eastAsia="Arial" w:hAnsi="Arial"/>
          <w:sz w:val="15"/>
          <w:szCs w:val="15"/>
          <w:i w:val="1"/>
          <w:iCs w:val="1"/>
          <w:color w:val="auto"/>
        </w:rPr>
        <w:t xml:space="preserve"> </w:t>
      </w:r>
      <w:r>
        <w:rPr>
          <w:rFonts w:ascii="Arial" w:cs="Arial" w:eastAsia="Arial" w:hAnsi="Arial"/>
          <w:sz w:val="15"/>
          <w:szCs w:val="15"/>
          <w:color w:val="auto"/>
        </w:rPr>
        <w:t>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99" w:lineRule="exact"/>
        <w:rPr>
          <w:rFonts w:ascii="Arial" w:cs="Arial" w:eastAsia="Arial" w:hAnsi="Arial"/>
          <w:sz w:val="15"/>
          <w:szCs w:val="15"/>
          <w:color w:val="auto"/>
        </w:rPr>
      </w:pPr>
    </w:p>
    <w:p>
      <w:pPr>
        <w:ind w:left="2140" w:right="839" w:hanging="325"/>
        <w:spacing w:after="0" w:line="284" w:lineRule="auto"/>
        <w:tabs>
          <w:tab w:leader="none" w:pos="21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That, for the purpose of determining liability of a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such undersigned Registrant will be a seller to the purchaser and will be considered to offer or sell such securities to such purchaser:</w:t>
      </w:r>
    </w:p>
    <w:p>
      <w:pPr>
        <w:spacing w:after="0" w:line="84" w:lineRule="exact"/>
        <w:rPr>
          <w:rFonts w:ascii="Arial" w:cs="Arial" w:eastAsia="Arial" w:hAnsi="Arial"/>
          <w:sz w:val="15"/>
          <w:szCs w:val="15"/>
          <w:color w:val="auto"/>
        </w:rPr>
      </w:pPr>
    </w:p>
    <w:p>
      <w:pPr>
        <w:ind w:left="2480" w:right="899" w:hanging="334"/>
        <w:spacing w:after="0" w:line="260" w:lineRule="auto"/>
        <w:tabs>
          <w:tab w:leader="none" w:pos="2480" w:val="left"/>
        </w:tabs>
        <w:numPr>
          <w:ilvl w:val="1"/>
          <w:numId w:val="42"/>
        </w:numPr>
        <w:rPr>
          <w:rFonts w:ascii="Arial" w:cs="Arial" w:eastAsia="Arial" w:hAnsi="Arial"/>
          <w:sz w:val="17"/>
          <w:szCs w:val="17"/>
          <w:color w:val="auto"/>
        </w:rPr>
      </w:pPr>
      <w:r>
        <w:rPr>
          <w:rFonts w:ascii="Arial" w:cs="Arial" w:eastAsia="Arial" w:hAnsi="Arial"/>
          <w:sz w:val="17"/>
          <w:szCs w:val="17"/>
          <w:color w:val="auto"/>
        </w:rPr>
        <w:t>any preliminary prospectus or prospectus of such undersigned Registrant relating to the offering required to be filed pursuant to Rule 424;</w:t>
      </w:r>
    </w:p>
    <w:p>
      <w:pPr>
        <w:spacing w:after="0" w:line="109" w:lineRule="exact"/>
        <w:rPr>
          <w:rFonts w:ascii="Arial" w:cs="Arial" w:eastAsia="Arial" w:hAnsi="Arial"/>
          <w:sz w:val="17"/>
          <w:szCs w:val="17"/>
          <w:color w:val="auto"/>
        </w:rPr>
      </w:pPr>
    </w:p>
    <w:p>
      <w:pPr>
        <w:ind w:left="2480" w:right="1159" w:hanging="334"/>
        <w:spacing w:after="0" w:line="327" w:lineRule="auto"/>
        <w:tabs>
          <w:tab w:leader="none" w:pos="2480" w:val="left"/>
        </w:tabs>
        <w:numPr>
          <w:ilvl w:val="1"/>
          <w:numId w:val="42"/>
        </w:numPr>
        <w:rPr>
          <w:rFonts w:ascii="Arial" w:cs="Arial" w:eastAsia="Arial" w:hAnsi="Arial"/>
          <w:sz w:val="15"/>
          <w:szCs w:val="15"/>
          <w:color w:val="auto"/>
        </w:rPr>
      </w:pPr>
      <w:r>
        <w:rPr>
          <w:rFonts w:ascii="Arial" w:cs="Arial" w:eastAsia="Arial" w:hAnsi="Arial"/>
          <w:sz w:val="15"/>
          <w:szCs w:val="15"/>
          <w:color w:val="auto"/>
        </w:rPr>
        <w:t>any free writing prospectus relating to the offering prepared by or on behalf of such undersigned Registrant or used or referred to by such undersigned Registrant;</w:t>
      </w:r>
    </w:p>
    <w:p>
      <w:pPr>
        <w:spacing w:after="0" w:line="50" w:lineRule="exact"/>
        <w:rPr>
          <w:rFonts w:ascii="Arial" w:cs="Arial" w:eastAsia="Arial" w:hAnsi="Arial"/>
          <w:sz w:val="15"/>
          <w:szCs w:val="15"/>
          <w:color w:val="auto"/>
        </w:rPr>
      </w:pPr>
    </w:p>
    <w:p>
      <w:pPr>
        <w:ind w:left="2480" w:right="939" w:hanging="334"/>
        <w:spacing w:after="0" w:line="252" w:lineRule="auto"/>
        <w:tabs>
          <w:tab w:leader="none" w:pos="2480" w:val="left"/>
        </w:tabs>
        <w:numPr>
          <w:ilvl w:val="1"/>
          <w:numId w:val="42"/>
        </w:numPr>
        <w:rPr>
          <w:rFonts w:ascii="Arial" w:cs="Arial" w:eastAsia="Arial" w:hAnsi="Arial"/>
          <w:sz w:val="17"/>
          <w:szCs w:val="17"/>
          <w:color w:val="auto"/>
        </w:rPr>
      </w:pPr>
      <w:r>
        <w:rPr>
          <w:rFonts w:ascii="Arial" w:cs="Arial" w:eastAsia="Arial" w:hAnsi="Arial"/>
          <w:sz w:val="17"/>
          <w:szCs w:val="17"/>
          <w:color w:val="auto"/>
        </w:rPr>
        <w:t>the portion of any other free writing prospectus relating to the offering containing material information about such undersigned Registrant or its securities provided by or on behalf of such undersigned Registrant; and</w:t>
      </w:r>
    </w:p>
    <w:p>
      <w:pPr>
        <w:spacing w:after="0" w:line="116" w:lineRule="exact"/>
        <w:rPr>
          <w:rFonts w:ascii="Arial" w:cs="Arial" w:eastAsia="Arial" w:hAnsi="Arial"/>
          <w:sz w:val="17"/>
          <w:szCs w:val="17"/>
          <w:color w:val="auto"/>
        </w:rPr>
      </w:pPr>
    </w:p>
    <w:p>
      <w:pPr>
        <w:ind w:left="2480" w:right="1219" w:hanging="334"/>
        <w:spacing w:after="0" w:line="260" w:lineRule="auto"/>
        <w:tabs>
          <w:tab w:leader="none" w:pos="2480" w:val="left"/>
        </w:tabs>
        <w:numPr>
          <w:ilvl w:val="1"/>
          <w:numId w:val="42"/>
        </w:numPr>
        <w:rPr>
          <w:rFonts w:ascii="Arial" w:cs="Arial" w:eastAsia="Arial" w:hAnsi="Arial"/>
          <w:sz w:val="17"/>
          <w:szCs w:val="17"/>
          <w:color w:val="auto"/>
        </w:rPr>
      </w:pPr>
      <w:r>
        <w:rPr>
          <w:rFonts w:ascii="Arial" w:cs="Arial" w:eastAsia="Arial" w:hAnsi="Arial"/>
          <w:sz w:val="17"/>
          <w:szCs w:val="17"/>
          <w:color w:val="auto"/>
        </w:rPr>
        <w:t>any other communication that is an offer in the offering made by such undersigned Registrant to the purchaser.</w:t>
      </w:r>
    </w:p>
    <w:p>
      <w:pPr>
        <w:spacing w:after="0" w:line="109" w:lineRule="exact"/>
        <w:rPr>
          <w:rFonts w:ascii="Arial" w:cs="Arial" w:eastAsia="Arial" w:hAnsi="Arial"/>
          <w:sz w:val="17"/>
          <w:szCs w:val="17"/>
          <w:color w:val="auto"/>
        </w:rPr>
      </w:pPr>
    </w:p>
    <w:p>
      <w:pPr>
        <w:ind w:left="2140" w:hanging="325"/>
        <w:spacing w:after="0"/>
        <w:tabs>
          <w:tab w:leader="none" w:pos="21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That, for purposes of determining any liability under the Securities Act:</w:t>
      </w:r>
    </w:p>
    <w:p>
      <w:pPr>
        <w:spacing w:after="0" w:line="127" w:lineRule="exact"/>
        <w:rPr>
          <w:rFonts w:ascii="Arial" w:cs="Arial" w:eastAsia="Arial" w:hAnsi="Arial"/>
          <w:sz w:val="17"/>
          <w:szCs w:val="17"/>
          <w:color w:val="auto"/>
        </w:rPr>
      </w:pPr>
    </w:p>
    <w:p>
      <w:pPr>
        <w:ind w:left="2480" w:right="759" w:hanging="334"/>
        <w:spacing w:after="0" w:line="247" w:lineRule="auto"/>
        <w:tabs>
          <w:tab w:leader="none" w:pos="2480" w:val="left"/>
        </w:tabs>
        <w:numPr>
          <w:ilvl w:val="1"/>
          <w:numId w:val="42"/>
        </w:numPr>
        <w:rPr>
          <w:rFonts w:ascii="Arial" w:cs="Arial" w:eastAsia="Arial" w:hAnsi="Arial"/>
          <w:sz w:val="17"/>
          <w:szCs w:val="17"/>
          <w:color w:val="auto"/>
        </w:rPr>
      </w:pPr>
      <w:r>
        <w:rPr>
          <w:rFonts w:ascii="Arial" w:cs="Arial" w:eastAsia="Arial" w:hAnsi="Arial"/>
          <w:sz w:val="17"/>
          <w:szCs w:val="17"/>
          <w:color w:val="auto"/>
        </w:rPr>
        <w:t>the information omitted from the form of prospectus filed as part of the registration statement in reliance upon Rule 430A and contained in the form of prospectus filed by the Registrant pursuant to Rule 424(b)(1) or (4) or 497(h) under the Securities Act shall be deemed to be part of the registration statement as of the time it was declared effective; and</w:t>
      </w:r>
    </w:p>
    <w:p>
      <w:pPr>
        <w:spacing w:after="0" w:line="358"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225425</wp:posOffset>
            </wp:positionV>
            <wp:extent cx="6271260"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a:extLst>
                        <a:ext uri="{28A0092B-C50C-407E-A947-70E740481C1C}"/>
                      </a:extLst>
                    </a:blip>
                    <a:srcRect/>
                    <a:stretch>
                      <a:fillRect/>
                    </a:stretch>
                  </pic:blipFill>
                  <pic:spPr bwMode="auto">
                    <a:xfrm>
                      <a:off x="0" y="0"/>
                      <a:ext cx="6271260" cy="41275"/>
                    </a:xfrm>
                    <a:prstGeom prst="rect">
                      <a:avLst/>
                    </a:prstGeom>
                    <a:noFill/>
                  </pic:spPr>
                </pic:pic>
              </a:graphicData>
            </a:graphic>
          </wp:anchor>
        </w:drawing>
      </w:r>
    </w:p>
    <w:p>
      <w:pPr>
        <w:sectPr>
          <w:pgSz w:w="11900" w:h="16838" w:orient="portrait"/>
          <w:cols w:equalWidth="0" w:num="1">
            <w:col w:w="9439"/>
          </w:cols>
          <w:pgMar w:left="1020" w:top="132" w:right="1440" w:bottom="1440" w:gutter="0" w:footer="0" w:header="0"/>
        </w:sectPr>
      </w:pPr>
    </w:p>
    <w:bookmarkStart w:id="40" w:name="page41"/>
    <w:bookmarkEnd w:id="40"/>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2480" w:right="839" w:hanging="334"/>
        <w:spacing w:after="0" w:line="301" w:lineRule="auto"/>
        <w:tabs>
          <w:tab w:leader="none" w:pos="2480" w:val="left"/>
        </w:tabs>
        <w:numPr>
          <w:ilvl w:val="1"/>
          <w:numId w:val="43"/>
        </w:numPr>
        <w:rPr>
          <w:rFonts w:ascii="Arial" w:cs="Arial" w:eastAsia="Arial" w:hAnsi="Arial"/>
          <w:sz w:val="15"/>
          <w:szCs w:val="15"/>
          <w:color w:val="auto"/>
        </w:rPr>
      </w:pPr>
      <w:r>
        <w:rPr>
          <w:rFonts w:ascii="Arial" w:cs="Arial" w:eastAsia="Arial" w:hAnsi="Arial"/>
          <w:sz w:val="15"/>
          <w:szCs w:val="15"/>
          <w:color w:val="auto"/>
        </w:rPr>
        <w:t xml:space="preserve">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offering thereof.</w:t>
      </w:r>
    </w:p>
    <w:p>
      <w:pPr>
        <w:spacing w:after="0" w:line="70" w:lineRule="exact"/>
        <w:rPr>
          <w:rFonts w:ascii="Arial" w:cs="Arial" w:eastAsia="Arial" w:hAnsi="Arial"/>
          <w:sz w:val="15"/>
          <w:szCs w:val="15"/>
          <w:color w:val="auto"/>
        </w:rPr>
      </w:pPr>
    </w:p>
    <w:p>
      <w:pPr>
        <w:ind w:left="2140" w:right="859" w:hanging="325"/>
        <w:spacing w:after="0" w:line="283" w:lineRule="auto"/>
        <w:tabs>
          <w:tab w:leader="none" w:pos="21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undersigned Registrant hereby undertakes that, for purposes of determining any liability under the Securities Act, each filing of the Registrant’s annual report pursuant to</w:t>
      </w:r>
    </w:p>
    <w:p>
      <w:pPr>
        <w:ind w:left="2140" w:right="879"/>
        <w:spacing w:after="0" w:line="285" w:lineRule="auto"/>
        <w:rPr>
          <w:rFonts w:ascii="Arial" w:cs="Arial" w:eastAsia="Arial" w:hAnsi="Arial"/>
          <w:sz w:val="15"/>
          <w:szCs w:val="15"/>
          <w:color w:val="auto"/>
        </w:rPr>
      </w:pPr>
      <w:r>
        <w:rPr>
          <w:rFonts w:ascii="Arial" w:cs="Arial" w:eastAsia="Arial" w:hAnsi="Arial"/>
          <w:sz w:val="15"/>
          <w:szCs w:val="15"/>
          <w:color w:val="auto"/>
        </w:rPr>
        <w:t xml:space="preserve">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offering thereof.</w:t>
      </w:r>
    </w:p>
    <w:p>
      <w:pPr>
        <w:spacing w:after="0" w:line="93" w:lineRule="exact"/>
        <w:rPr>
          <w:rFonts w:ascii="Arial" w:cs="Arial" w:eastAsia="Arial" w:hAnsi="Arial"/>
          <w:sz w:val="15"/>
          <w:szCs w:val="15"/>
          <w:color w:val="auto"/>
        </w:rPr>
      </w:pPr>
    </w:p>
    <w:p>
      <w:pPr>
        <w:ind w:left="2140" w:right="1139" w:hanging="325"/>
        <w:spacing w:after="0" w:line="293" w:lineRule="auto"/>
        <w:tabs>
          <w:tab w:leader="none" w:pos="21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87" w:lineRule="exact"/>
        <w:rPr>
          <w:rFonts w:ascii="Arial" w:cs="Arial" w:eastAsia="Arial" w:hAnsi="Arial"/>
          <w:sz w:val="15"/>
          <w:szCs w:val="15"/>
          <w:color w:val="auto"/>
        </w:rPr>
      </w:pPr>
    </w:p>
    <w:p>
      <w:pPr>
        <w:ind w:left="2140" w:right="819" w:hanging="325"/>
        <w:spacing w:after="0" w:line="280" w:lineRule="auto"/>
        <w:tabs>
          <w:tab w:leader="none" w:pos="21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Insofar as indemnification for liabilities arising under the Securities Act may be permitted to directors, officers and controlling persons of any Registrant pursuant to the indemnification provisions described herein, or otherwise, each Registrant has been advised that in the opinion of the Commission such indemnification is against public policy as expressed in the Securities Act and is, therefore, unenforceable. In the event that a claim for indemnification against such liabilities (other than the payment by a Registrant of expenses incurred or paid by a director, officer or controlling person of such Registrant in the successful defense of any action, suit or proceeding) is asserted by such director, officer or controlling person in connection with the securities being registered, such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225425</wp:posOffset>
            </wp:positionV>
            <wp:extent cx="6271260"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4">
                      <a:extLst>
                        <a:ext uri="{28A0092B-C50C-407E-A947-70E740481C1C}"/>
                      </a:extLst>
                    </a:blip>
                    <a:srcRect/>
                    <a:stretch>
                      <a:fillRect/>
                    </a:stretch>
                  </pic:blipFill>
                  <pic:spPr bwMode="auto">
                    <a:xfrm>
                      <a:off x="0" y="0"/>
                      <a:ext cx="6271260" cy="41275"/>
                    </a:xfrm>
                    <a:prstGeom prst="rect">
                      <a:avLst/>
                    </a:prstGeom>
                    <a:noFill/>
                  </pic:spPr>
                </pic:pic>
              </a:graphicData>
            </a:graphic>
          </wp:anchor>
        </w:drawing>
      </w:r>
    </w:p>
    <w:p>
      <w:pPr>
        <w:sectPr>
          <w:pgSz w:w="11900" w:h="16838" w:orient="portrait"/>
          <w:cols w:equalWidth="0" w:num="1">
            <w:col w:w="9439"/>
          </w:cols>
          <w:pgMar w:left="1020" w:top="132" w:right="1440" w:bottom="1440" w:gutter="0" w:footer="0" w:header="0"/>
        </w:sectPr>
      </w:pPr>
    </w:p>
    <w:bookmarkStart w:id="41" w:name="page42"/>
    <w:bookmarkEnd w:id="41"/>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131" w:lineRule="exact"/>
        <w:rPr>
          <w:sz w:val="20"/>
          <w:szCs w:val="20"/>
          <w:color w:val="auto"/>
        </w:rPr>
      </w:pPr>
    </w:p>
    <w:p>
      <w:pPr>
        <w:ind w:left="1160" w:right="1240" w:firstLine="331"/>
        <w:spacing w:after="0" w:line="293" w:lineRule="auto"/>
        <w:rPr>
          <w:sz w:val="20"/>
          <w:szCs w:val="20"/>
          <w:color w:val="auto"/>
        </w:rPr>
      </w:pPr>
      <w:r>
        <w:rPr>
          <w:rFonts w:ascii="Arial" w:cs="Arial" w:eastAsia="Arial" w:hAnsi="Arial"/>
          <w:sz w:val="15"/>
          <w:szCs w:val="15"/>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New York, State of New York, on October 21, 2021.</w:t>
      </w:r>
    </w:p>
    <w:p>
      <w:pPr>
        <w:spacing w:after="0" w:line="146" w:lineRule="exact"/>
        <w:rPr>
          <w:sz w:val="20"/>
          <w:szCs w:val="20"/>
          <w:color w:val="auto"/>
        </w:rPr>
      </w:pPr>
    </w:p>
    <w:p>
      <w:pPr>
        <w:ind w:left="5120"/>
        <w:spacing w:after="0"/>
        <w:rPr>
          <w:sz w:val="20"/>
          <w:szCs w:val="20"/>
          <w:color w:val="auto"/>
        </w:rPr>
      </w:pPr>
      <w:r>
        <w:rPr>
          <w:rFonts w:ascii="Arial" w:cs="Arial" w:eastAsia="Arial" w:hAnsi="Arial"/>
          <w:sz w:val="17"/>
          <w:szCs w:val="17"/>
          <w:b w:val="1"/>
          <w:bCs w:val="1"/>
          <w:color w:val="auto"/>
        </w:rPr>
        <w:t>IVERIC BIO, INC.</w:t>
      </w:r>
    </w:p>
    <w:p>
      <w:pPr>
        <w:spacing w:after="0" w:line="205"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By: /s/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41275</wp:posOffset>
            </wp:positionV>
            <wp:extent cx="206375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2063750" cy="7620"/>
                    </a:xfrm>
                    <a:prstGeom prst="rect">
                      <a:avLst/>
                    </a:prstGeom>
                    <a:noFill/>
                  </pic:spPr>
                </pic:pic>
              </a:graphicData>
            </a:graphic>
          </wp:anchor>
        </w:drawing>
      </w:r>
    </w:p>
    <w:p>
      <w:pPr>
        <w:spacing w:after="0" w:line="82"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5"/>
          <w:szCs w:val="15"/>
          <w:color w:val="auto"/>
        </w:rPr>
        <w:t>Glenn P. Sblendorio</w:t>
      </w:r>
    </w:p>
    <w:p>
      <w:pPr>
        <w:spacing w:after="0" w:line="14"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i w:val="1"/>
          <w:iCs w:val="1"/>
          <w:color w:val="auto"/>
        </w:rPr>
        <w:t>Chief Executive Officer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 AND POWER OF ATTORNEY</w:t>
      </w:r>
    </w:p>
    <w:p>
      <w:pPr>
        <w:spacing w:after="0" w:line="131" w:lineRule="exact"/>
        <w:rPr>
          <w:sz w:val="20"/>
          <w:szCs w:val="20"/>
          <w:color w:val="auto"/>
        </w:rPr>
      </w:pPr>
    </w:p>
    <w:p>
      <w:pPr>
        <w:ind w:left="1160" w:right="1240" w:firstLine="331"/>
        <w:spacing w:after="0" w:line="280" w:lineRule="auto"/>
        <w:rPr>
          <w:sz w:val="20"/>
          <w:szCs w:val="20"/>
          <w:color w:val="auto"/>
        </w:rPr>
      </w:pPr>
      <w:r>
        <w:rPr>
          <w:rFonts w:ascii="Arial" w:cs="Arial" w:eastAsia="Arial" w:hAnsi="Arial"/>
          <w:sz w:val="15"/>
          <w:szCs w:val="15"/>
          <w:color w:val="auto"/>
        </w:rPr>
        <w:t>We, the undersigned officers and directors of IVERIC bio, Inc. hereby severally constitute and appoint Glenn P. Sblendorio and David F. Carroll, and each of them singly, our true and lawful attorneys-in-fact with full power to any of them, and to each of them singly, to sign for us and in our names in the capacities indicated below the Registration Statement on Form S-3 filed herewith and any and all amendments (including post-effective amendments) to said Registration Statement, and any registration statement filed pursuant to Rule 462 under the Securities Act of 1933, as amended, in connection with said Registration Statement, and to file or cause to be filed the same, with all exhibits thereto and other documents in connection therewith, with the Securities and Exchange Commission, and generally to do all such things in our name and on our behalf in our capacities as officers and directors to enable IVERIC bio, Inc. to comply with the provisions of the Securities Act of 1933, as amended, and all requirements of the Securities and Exchange Commission, hereby ratifying and confirming all that said attorneys, and each of them, or their substitute or substitutes, shall do or cause to be done by virtue hereof.</w:t>
      </w:r>
    </w:p>
    <w:p>
      <w:pPr>
        <w:spacing w:after="0" w:line="103" w:lineRule="exact"/>
        <w:rPr>
          <w:sz w:val="20"/>
          <w:szCs w:val="20"/>
          <w:color w:val="auto"/>
        </w:rPr>
      </w:pPr>
    </w:p>
    <w:p>
      <w:pPr>
        <w:ind w:left="1160" w:right="1180" w:firstLine="331"/>
        <w:spacing w:after="0" w:line="260"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 following persons in the capacities and on the dates indicated.</w:t>
      </w:r>
    </w:p>
    <w:p>
      <w:pPr>
        <w:spacing w:after="0" w:line="152" w:lineRule="exact"/>
        <w:rPr>
          <w:sz w:val="20"/>
          <w:szCs w:val="20"/>
          <w:color w:val="auto"/>
        </w:rPr>
      </w:pPr>
    </w:p>
    <w:p>
      <w:pPr>
        <w:ind w:left="2340"/>
        <w:spacing w:after="0"/>
        <w:tabs>
          <w:tab w:leader="none" w:pos="5520" w:val="left"/>
          <w:tab w:leader="none" w:pos="7840" w:val="left"/>
        </w:tabs>
        <w:rPr>
          <w:sz w:val="20"/>
          <w:szCs w:val="20"/>
          <w:color w:val="auto"/>
        </w:rPr>
      </w:pPr>
      <w:r>
        <w:rPr>
          <w:rFonts w:ascii="Arial" w:cs="Arial" w:eastAsia="Arial" w:hAnsi="Arial"/>
          <w:sz w:val="13"/>
          <w:szCs w:val="13"/>
          <w:b w:val="1"/>
          <w:bCs w:val="1"/>
          <w:color w:val="auto"/>
        </w:rPr>
        <w:t>Signature</w:t>
      </w:r>
      <w:r>
        <w:rPr>
          <w:sz w:val="20"/>
          <w:szCs w:val="20"/>
          <w:color w:val="auto"/>
        </w:rPr>
        <w:tab/>
      </w:r>
      <w:r>
        <w:rPr>
          <w:rFonts w:ascii="Arial" w:cs="Arial" w:eastAsia="Arial" w:hAnsi="Arial"/>
          <w:sz w:val="13"/>
          <w:szCs w:val="13"/>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736600</wp:posOffset>
            </wp:positionH>
            <wp:positionV relativeFrom="paragraph">
              <wp:posOffset>27940</wp:posOffset>
            </wp:positionV>
            <wp:extent cx="478853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a:extLst>
                        <a:ext uri="{28A0092B-C50C-407E-A947-70E740481C1C}"/>
                      </a:extLst>
                    </a:blip>
                    <a:srcRect/>
                    <a:stretch>
                      <a:fillRect/>
                    </a:stretch>
                  </pic:blipFill>
                  <pic:spPr bwMode="auto">
                    <a:xfrm>
                      <a:off x="0" y="0"/>
                      <a:ext cx="4788535" cy="762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60" w:type="dxa"/>
            <w:vAlign w:val="bottom"/>
          </w:tcPr>
          <w:p>
            <w:pPr>
              <w:jc w:val="center"/>
              <w:spacing w:after="0"/>
              <w:rPr>
                <w:sz w:val="20"/>
                <w:szCs w:val="20"/>
                <w:color w:val="auto"/>
              </w:rPr>
            </w:pPr>
            <w:r>
              <w:rPr>
                <w:rFonts w:ascii="Arial" w:cs="Arial" w:eastAsia="Arial" w:hAnsi="Arial"/>
                <w:sz w:val="17"/>
                <w:szCs w:val="17"/>
                <w:color w:val="auto"/>
                <w:w w:val="95"/>
              </w:rPr>
              <w:t>/s/ GLENN P. SBLENDORIO</w:t>
            </w:r>
          </w:p>
        </w:tc>
        <w:tc>
          <w:tcPr>
            <w:tcW w:w="3140" w:type="dxa"/>
            <w:vAlign w:val="bottom"/>
          </w:tcPr>
          <w:p>
            <w:pPr>
              <w:jc w:val="center"/>
              <w:ind w:left="17"/>
              <w:spacing w:after="0"/>
              <w:rPr>
                <w:sz w:val="20"/>
                <w:szCs w:val="20"/>
                <w:color w:val="auto"/>
              </w:rPr>
            </w:pPr>
            <w:r>
              <w:rPr>
                <w:rFonts w:ascii="Arial" w:cs="Arial" w:eastAsia="Arial" w:hAnsi="Arial"/>
                <w:sz w:val="17"/>
                <w:szCs w:val="17"/>
                <w:color w:val="auto"/>
                <w:w w:val="94"/>
              </w:rPr>
              <w:t>Chief Executive Officer and Director</w:t>
            </w:r>
          </w:p>
        </w:tc>
        <w:tc>
          <w:tcPr>
            <w:tcW w:w="2660" w:type="dxa"/>
            <w:vAlign w:val="bottom"/>
            <w:vMerge w:val="restart"/>
          </w:tcPr>
          <w:p>
            <w:pPr>
              <w:ind w:left="220"/>
              <w:spacing w:after="0"/>
              <w:rPr>
                <w:sz w:val="20"/>
                <w:szCs w:val="20"/>
                <w:color w:val="auto"/>
              </w:rPr>
            </w:pPr>
            <w:r>
              <w:rPr>
                <w:rFonts w:ascii="Arial" w:cs="Arial" w:eastAsia="Arial" w:hAnsi="Arial"/>
                <w:sz w:val="17"/>
                <w:szCs w:val="17"/>
                <w:color w:val="auto"/>
              </w:rPr>
              <w:t>October 21, 2021</w:t>
            </w:r>
          </w:p>
        </w:tc>
        <w:tc>
          <w:tcPr>
            <w:tcW w:w="0" w:type="dxa"/>
            <w:vAlign w:val="bottom"/>
          </w:tcPr>
          <w:p>
            <w:pPr>
              <w:spacing w:after="0"/>
              <w:rPr>
                <w:sz w:val="1"/>
                <w:szCs w:val="1"/>
                <w:color w:val="auto"/>
              </w:rPr>
            </w:pPr>
          </w:p>
        </w:tc>
      </w:tr>
      <w:tr>
        <w:trPr>
          <w:trHeight w:val="25"/>
        </w:trPr>
        <w:tc>
          <w:tcPr>
            <w:tcW w:w="1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3140" w:type="dxa"/>
            <w:vAlign w:val="bottom"/>
            <w:vMerge w:val="restart"/>
          </w:tcPr>
          <w:p>
            <w:pPr>
              <w:jc w:val="center"/>
              <w:ind w:left="17"/>
              <w:spacing w:after="0"/>
              <w:rPr>
                <w:sz w:val="20"/>
                <w:szCs w:val="20"/>
                <w:color w:val="auto"/>
              </w:rPr>
            </w:pPr>
            <w:r>
              <w:rPr>
                <w:rFonts w:ascii="Arial" w:cs="Arial" w:eastAsia="Arial" w:hAnsi="Arial"/>
                <w:sz w:val="17"/>
                <w:szCs w:val="17"/>
                <w:color w:val="auto"/>
                <w:w w:val="95"/>
              </w:rPr>
              <w:t>(Principal Executive Officer)</w:t>
            </w:r>
          </w:p>
        </w:tc>
        <w:tc>
          <w:tcPr>
            <w:tcW w:w="2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1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60" w:type="dxa"/>
            <w:vAlign w:val="bottom"/>
            <w:vMerge w:val="restart"/>
          </w:tcPr>
          <w:p>
            <w:pPr>
              <w:jc w:val="center"/>
              <w:spacing w:after="0"/>
              <w:rPr>
                <w:sz w:val="20"/>
                <w:szCs w:val="20"/>
                <w:color w:val="auto"/>
              </w:rPr>
            </w:pPr>
            <w:r>
              <w:rPr>
                <w:rFonts w:ascii="Arial" w:cs="Arial" w:eastAsia="Arial" w:hAnsi="Arial"/>
                <w:sz w:val="17"/>
                <w:szCs w:val="17"/>
                <w:color w:val="auto"/>
                <w:w w:val="91"/>
              </w:rPr>
              <w:t>Glenn P. Sblendorio</w:t>
            </w:r>
          </w:p>
        </w:tc>
        <w:tc>
          <w:tcPr>
            <w:tcW w:w="3140" w:type="dxa"/>
            <w:vAlign w:val="bottom"/>
            <w:vMerge w:val="continue"/>
          </w:tcPr>
          <w:p>
            <w:pPr>
              <w:spacing w:after="0"/>
              <w:rPr>
                <w:sz w:val="5"/>
                <w:szCs w:val="5"/>
                <w:color w:val="auto"/>
              </w:rPr>
            </w:pPr>
          </w:p>
        </w:tc>
        <w:tc>
          <w:tcPr>
            <w:tcW w:w="2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60" w:type="dxa"/>
            <w:vAlign w:val="bottom"/>
            <w:vMerge w:val="continue"/>
          </w:tcPr>
          <w:p>
            <w:pPr>
              <w:spacing w:after="0"/>
              <w:rPr>
                <w:sz w:val="8"/>
                <w:szCs w:val="8"/>
                <w:color w:val="auto"/>
              </w:rPr>
            </w:pPr>
          </w:p>
        </w:tc>
        <w:tc>
          <w:tcPr>
            <w:tcW w:w="3140" w:type="dxa"/>
            <w:vAlign w:val="bottom"/>
            <w:vMerge w:val="continue"/>
          </w:tcPr>
          <w:p>
            <w:pPr>
              <w:spacing w:after="0"/>
              <w:rPr>
                <w:sz w:val="8"/>
                <w:szCs w:val="8"/>
                <w:color w:val="auto"/>
              </w:rPr>
            </w:pPr>
          </w:p>
        </w:tc>
        <w:tc>
          <w:tcPr>
            <w:tcW w:w="2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1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60" w:type="dxa"/>
            <w:vAlign w:val="bottom"/>
            <w:vMerge w:val="continue"/>
          </w:tcPr>
          <w:p>
            <w:pPr>
              <w:spacing w:after="0"/>
              <w:rPr>
                <w:sz w:val="5"/>
                <w:szCs w:val="5"/>
                <w:color w:val="auto"/>
              </w:rPr>
            </w:pPr>
          </w:p>
        </w:tc>
        <w:tc>
          <w:tcPr>
            <w:tcW w:w="3140" w:type="dxa"/>
            <w:vAlign w:val="bottom"/>
          </w:tcPr>
          <w:p>
            <w:pPr>
              <w:spacing w:after="0"/>
              <w:rPr>
                <w:sz w:val="5"/>
                <w:szCs w:val="5"/>
                <w:color w:val="auto"/>
              </w:rPr>
            </w:pPr>
          </w:p>
        </w:tc>
        <w:tc>
          <w:tcPr>
            <w:tcW w:w="2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4"/>
        </w:trPr>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vMerge w:val="restart"/>
          </w:tcPr>
          <w:p>
            <w:pPr>
              <w:jc w:val="center"/>
              <w:spacing w:after="0"/>
              <w:rPr>
                <w:sz w:val="20"/>
                <w:szCs w:val="20"/>
                <w:color w:val="auto"/>
              </w:rPr>
            </w:pPr>
            <w:r>
              <w:rPr>
                <w:rFonts w:ascii="Arial" w:cs="Arial" w:eastAsia="Arial" w:hAnsi="Arial"/>
                <w:sz w:val="17"/>
                <w:szCs w:val="17"/>
                <w:color w:val="auto"/>
                <w:w w:val="96"/>
              </w:rPr>
              <w:t>/s/ DAVID F. CARROLL</w:t>
            </w:r>
          </w:p>
        </w:tc>
        <w:tc>
          <w:tcPr>
            <w:tcW w:w="3140" w:type="dxa"/>
            <w:vAlign w:val="bottom"/>
          </w:tcPr>
          <w:p>
            <w:pPr>
              <w:jc w:val="center"/>
              <w:ind w:left="37"/>
              <w:spacing w:after="0"/>
              <w:rPr>
                <w:sz w:val="20"/>
                <w:szCs w:val="20"/>
                <w:color w:val="auto"/>
              </w:rPr>
            </w:pPr>
            <w:r>
              <w:rPr>
                <w:rFonts w:ascii="Arial" w:cs="Arial" w:eastAsia="Arial" w:hAnsi="Arial"/>
                <w:sz w:val="17"/>
                <w:szCs w:val="17"/>
                <w:color w:val="auto"/>
                <w:w w:val="92"/>
              </w:rPr>
              <w:t>Senior Vice President and Chief</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60" w:type="dxa"/>
            <w:vAlign w:val="bottom"/>
            <w:vMerge w:val="continue"/>
          </w:tcPr>
          <w:p>
            <w:pPr>
              <w:spacing w:after="0"/>
              <w:rPr>
                <w:sz w:val="17"/>
                <w:szCs w:val="17"/>
                <w:color w:val="auto"/>
              </w:rPr>
            </w:pPr>
          </w:p>
        </w:tc>
        <w:tc>
          <w:tcPr>
            <w:tcW w:w="3140" w:type="dxa"/>
            <w:vAlign w:val="bottom"/>
          </w:tcPr>
          <w:p>
            <w:pPr>
              <w:jc w:val="center"/>
              <w:ind w:left="17"/>
              <w:spacing w:after="0"/>
              <w:rPr>
                <w:sz w:val="20"/>
                <w:szCs w:val="20"/>
                <w:color w:val="auto"/>
              </w:rPr>
            </w:pPr>
            <w:r>
              <w:rPr>
                <w:rFonts w:ascii="Arial" w:cs="Arial" w:eastAsia="Arial" w:hAnsi="Arial"/>
                <w:sz w:val="17"/>
                <w:szCs w:val="17"/>
                <w:color w:val="auto"/>
                <w:w w:val="95"/>
              </w:rPr>
              <w:t>Financial Officer (Principal Financial</w:t>
            </w:r>
          </w:p>
        </w:tc>
        <w:tc>
          <w:tcPr>
            <w:tcW w:w="2660" w:type="dxa"/>
            <w:vAlign w:val="bottom"/>
            <w:vMerge w:val="restart"/>
          </w:tcPr>
          <w:p>
            <w:pPr>
              <w:ind w:left="220"/>
              <w:spacing w:after="0"/>
              <w:rPr>
                <w:sz w:val="20"/>
                <w:szCs w:val="20"/>
                <w:color w:val="auto"/>
              </w:rPr>
            </w:pPr>
            <w:r>
              <w:rPr>
                <w:rFonts w:ascii="Arial" w:cs="Arial" w:eastAsia="Arial" w:hAnsi="Arial"/>
                <w:sz w:val="17"/>
                <w:szCs w:val="17"/>
                <w:color w:val="auto"/>
              </w:rPr>
              <w:t>October 21, 2021</w:t>
            </w:r>
          </w:p>
        </w:tc>
        <w:tc>
          <w:tcPr>
            <w:tcW w:w="0" w:type="dxa"/>
            <w:vAlign w:val="bottom"/>
          </w:tcPr>
          <w:p>
            <w:pPr>
              <w:spacing w:after="0"/>
              <w:rPr>
                <w:sz w:val="1"/>
                <w:szCs w:val="1"/>
                <w:color w:val="auto"/>
              </w:rPr>
            </w:pPr>
          </w:p>
        </w:tc>
      </w:tr>
      <w:tr>
        <w:trPr>
          <w:trHeight w:val="25"/>
        </w:trPr>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3140" w:type="dxa"/>
            <w:vAlign w:val="bottom"/>
            <w:vMerge w:val="restart"/>
          </w:tcPr>
          <w:p>
            <w:pPr>
              <w:jc w:val="center"/>
              <w:ind w:left="17"/>
              <w:spacing w:after="0"/>
              <w:rPr>
                <w:sz w:val="20"/>
                <w:szCs w:val="20"/>
                <w:color w:val="auto"/>
              </w:rPr>
            </w:pPr>
            <w:r>
              <w:rPr>
                <w:rFonts w:ascii="Arial" w:cs="Arial" w:eastAsia="Arial" w:hAnsi="Arial"/>
                <w:sz w:val="17"/>
                <w:szCs w:val="17"/>
                <w:color w:val="auto"/>
                <w:w w:val="95"/>
              </w:rPr>
              <w:t>Officer and Principal Accounting</w:t>
            </w:r>
          </w:p>
        </w:tc>
        <w:tc>
          <w:tcPr>
            <w:tcW w:w="2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1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60" w:type="dxa"/>
            <w:vAlign w:val="bottom"/>
            <w:vMerge w:val="restart"/>
          </w:tcPr>
          <w:p>
            <w:pPr>
              <w:jc w:val="center"/>
              <w:spacing w:after="0"/>
              <w:rPr>
                <w:sz w:val="20"/>
                <w:szCs w:val="20"/>
                <w:color w:val="auto"/>
              </w:rPr>
            </w:pPr>
            <w:r>
              <w:rPr>
                <w:rFonts w:ascii="Arial" w:cs="Arial" w:eastAsia="Arial" w:hAnsi="Arial"/>
                <w:sz w:val="17"/>
                <w:szCs w:val="17"/>
                <w:color w:val="auto"/>
                <w:w w:val="94"/>
              </w:rPr>
              <w:t>David F. Carroll</w:t>
            </w:r>
          </w:p>
        </w:tc>
        <w:tc>
          <w:tcPr>
            <w:tcW w:w="3140" w:type="dxa"/>
            <w:vAlign w:val="bottom"/>
            <w:vMerge w:val="continue"/>
          </w:tcPr>
          <w:p>
            <w:pPr>
              <w:spacing w:after="0"/>
              <w:rPr>
                <w:sz w:val="5"/>
                <w:szCs w:val="5"/>
                <w:color w:val="auto"/>
              </w:rPr>
            </w:pPr>
          </w:p>
        </w:tc>
        <w:tc>
          <w:tcPr>
            <w:tcW w:w="2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20" w:type="dxa"/>
            <w:vAlign w:val="bottom"/>
          </w:tcPr>
          <w:p>
            <w:pPr>
              <w:spacing w:after="0"/>
              <w:rPr>
                <w:sz w:val="7"/>
                <w:szCs w:val="7"/>
                <w:color w:val="auto"/>
              </w:rPr>
            </w:pPr>
          </w:p>
        </w:tc>
        <w:tc>
          <w:tcPr>
            <w:tcW w:w="2860" w:type="dxa"/>
            <w:vAlign w:val="bottom"/>
            <w:vMerge w:val="continue"/>
          </w:tcPr>
          <w:p>
            <w:pPr>
              <w:spacing w:after="0"/>
              <w:rPr>
                <w:sz w:val="7"/>
                <w:szCs w:val="7"/>
                <w:color w:val="auto"/>
              </w:rPr>
            </w:pPr>
          </w:p>
        </w:tc>
        <w:tc>
          <w:tcPr>
            <w:tcW w:w="3140" w:type="dxa"/>
            <w:vAlign w:val="bottom"/>
            <w:vMerge w:val="continue"/>
          </w:tcPr>
          <w:p>
            <w:pPr>
              <w:spacing w:after="0"/>
              <w:rPr>
                <w:sz w:val="7"/>
                <w:szCs w:val="7"/>
                <w:color w:val="auto"/>
              </w:rPr>
            </w:pPr>
          </w:p>
        </w:tc>
        <w:tc>
          <w:tcPr>
            <w:tcW w:w="2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1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860" w:type="dxa"/>
            <w:vAlign w:val="bottom"/>
            <w:vMerge w:val="continue"/>
          </w:tcPr>
          <w:p>
            <w:pPr>
              <w:spacing w:after="0"/>
              <w:rPr>
                <w:sz w:val="6"/>
                <w:szCs w:val="6"/>
                <w:color w:val="auto"/>
              </w:rPr>
            </w:pPr>
          </w:p>
        </w:tc>
        <w:tc>
          <w:tcPr>
            <w:tcW w:w="3140" w:type="dxa"/>
            <w:vAlign w:val="bottom"/>
            <w:vMerge w:val="restart"/>
          </w:tcPr>
          <w:p>
            <w:pPr>
              <w:jc w:val="center"/>
              <w:ind w:left="17"/>
              <w:spacing w:after="0"/>
              <w:rPr>
                <w:sz w:val="20"/>
                <w:szCs w:val="20"/>
                <w:color w:val="auto"/>
              </w:rPr>
            </w:pPr>
            <w:r>
              <w:rPr>
                <w:rFonts w:ascii="Arial" w:cs="Arial" w:eastAsia="Arial" w:hAnsi="Arial"/>
                <w:sz w:val="17"/>
                <w:szCs w:val="17"/>
                <w:color w:val="auto"/>
              </w:rPr>
              <w:t>Officer)</w:t>
            </w:r>
          </w:p>
        </w:tc>
        <w:tc>
          <w:tcPr>
            <w:tcW w:w="2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3140" w:type="dxa"/>
            <w:vAlign w:val="bottom"/>
            <w:vMerge w:val="continue"/>
          </w:tcPr>
          <w:p>
            <w:pPr>
              <w:spacing w:after="0"/>
              <w:rPr>
                <w:sz w:val="11"/>
                <w:szCs w:val="11"/>
                <w:color w:val="auto"/>
              </w:rPr>
            </w:pPr>
          </w:p>
        </w:tc>
        <w:tc>
          <w:tcPr>
            <w:tcW w:w="2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4"/>
        </w:trPr>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Arial" w:cs="Arial" w:eastAsia="Arial" w:hAnsi="Arial"/>
                <w:sz w:val="17"/>
                <w:szCs w:val="17"/>
                <w:color w:val="auto"/>
                <w:w w:val="96"/>
              </w:rPr>
              <w:t>/s/ ADRIENNE L. GRAVES</w:t>
            </w:r>
          </w:p>
        </w:tc>
        <w:tc>
          <w:tcPr>
            <w:tcW w:w="3140" w:type="dxa"/>
            <w:vAlign w:val="bottom"/>
            <w:vMerge w:val="restart"/>
          </w:tcPr>
          <w:p>
            <w:pPr>
              <w:jc w:val="center"/>
              <w:ind w:left="17"/>
              <w:spacing w:after="0"/>
              <w:rPr>
                <w:sz w:val="20"/>
                <w:szCs w:val="20"/>
                <w:color w:val="auto"/>
              </w:rPr>
            </w:pPr>
            <w:r>
              <w:rPr>
                <w:rFonts w:ascii="Arial" w:cs="Arial" w:eastAsia="Arial" w:hAnsi="Arial"/>
                <w:sz w:val="17"/>
                <w:szCs w:val="17"/>
                <w:color w:val="auto"/>
                <w:w w:val="94"/>
              </w:rPr>
              <w:t>Chairman of the Board of Directors</w:t>
            </w:r>
          </w:p>
        </w:tc>
        <w:tc>
          <w:tcPr>
            <w:tcW w:w="2660" w:type="dxa"/>
            <w:vAlign w:val="bottom"/>
            <w:vMerge w:val="restart"/>
          </w:tcPr>
          <w:p>
            <w:pPr>
              <w:ind w:left="220"/>
              <w:spacing w:after="0"/>
              <w:rPr>
                <w:sz w:val="20"/>
                <w:szCs w:val="20"/>
                <w:color w:val="auto"/>
              </w:rPr>
            </w:pPr>
            <w:r>
              <w:rPr>
                <w:rFonts w:ascii="Arial" w:cs="Arial" w:eastAsia="Arial" w:hAnsi="Arial"/>
                <w:sz w:val="17"/>
                <w:szCs w:val="17"/>
                <w:color w:val="auto"/>
              </w:rPr>
              <w:t>October 21, 2021</w:t>
            </w:r>
          </w:p>
        </w:tc>
        <w:tc>
          <w:tcPr>
            <w:tcW w:w="0" w:type="dxa"/>
            <w:vAlign w:val="bottom"/>
          </w:tcPr>
          <w:p>
            <w:pPr>
              <w:spacing w:after="0"/>
              <w:rPr>
                <w:sz w:val="1"/>
                <w:szCs w:val="1"/>
                <w:color w:val="auto"/>
              </w:rPr>
            </w:pPr>
          </w:p>
        </w:tc>
      </w:tr>
      <w:tr>
        <w:trPr>
          <w:trHeight w:val="51"/>
        </w:trPr>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3140" w:type="dxa"/>
            <w:vAlign w:val="bottom"/>
            <w:vMerge w:val="continue"/>
          </w:tcPr>
          <w:p>
            <w:pPr>
              <w:spacing w:after="0"/>
              <w:rPr>
                <w:sz w:val="4"/>
                <w:szCs w:val="4"/>
                <w:color w:val="auto"/>
              </w:rPr>
            </w:pPr>
          </w:p>
        </w:tc>
        <w:tc>
          <w:tcPr>
            <w:tcW w:w="2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8"/>
        </w:trPr>
        <w:tc>
          <w:tcPr>
            <w:tcW w:w="1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860" w:type="dxa"/>
            <w:vAlign w:val="bottom"/>
            <w:vMerge w:val="restart"/>
          </w:tcPr>
          <w:p>
            <w:pPr>
              <w:jc w:val="center"/>
              <w:spacing w:after="0"/>
              <w:rPr>
                <w:sz w:val="20"/>
                <w:szCs w:val="20"/>
                <w:color w:val="auto"/>
              </w:rPr>
            </w:pPr>
            <w:r>
              <w:rPr>
                <w:rFonts w:ascii="Arial" w:cs="Arial" w:eastAsia="Arial" w:hAnsi="Arial"/>
                <w:sz w:val="17"/>
                <w:szCs w:val="17"/>
                <w:color w:val="auto"/>
                <w:w w:val="92"/>
              </w:rPr>
              <w:t>Adrienne L. Graves</w:t>
            </w:r>
          </w:p>
        </w:tc>
        <w:tc>
          <w:tcPr>
            <w:tcW w:w="3140" w:type="dxa"/>
            <w:vAlign w:val="bottom"/>
            <w:vMerge w:val="continue"/>
          </w:tcPr>
          <w:p>
            <w:pPr>
              <w:spacing w:after="0"/>
              <w:rPr>
                <w:sz w:val="6"/>
                <w:szCs w:val="6"/>
                <w:color w:val="auto"/>
              </w:rPr>
            </w:pPr>
          </w:p>
        </w:tc>
        <w:tc>
          <w:tcPr>
            <w:tcW w:w="2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60" w:type="dxa"/>
            <w:vAlign w:val="bottom"/>
            <w:vMerge w:val="continue"/>
          </w:tcPr>
          <w:p>
            <w:pPr>
              <w:spacing w:after="0"/>
              <w:rPr>
                <w:sz w:val="12"/>
                <w:szCs w:val="12"/>
                <w:color w:val="auto"/>
              </w:rPr>
            </w:pPr>
          </w:p>
        </w:tc>
        <w:tc>
          <w:tcPr>
            <w:tcW w:w="31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7"/>
        </w:trPr>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Arial" w:cs="Arial" w:eastAsia="Arial" w:hAnsi="Arial"/>
                <w:sz w:val="17"/>
                <w:szCs w:val="17"/>
                <w:color w:val="auto"/>
              </w:rPr>
              <w:t>/s/ MARK BLUMENKRANZ</w:t>
            </w:r>
          </w:p>
        </w:tc>
        <w:tc>
          <w:tcPr>
            <w:tcW w:w="3140" w:type="dxa"/>
            <w:vAlign w:val="bottom"/>
            <w:vMerge w:val="restart"/>
          </w:tcPr>
          <w:p>
            <w:pPr>
              <w:jc w:val="center"/>
              <w:ind w:left="17"/>
              <w:spacing w:after="0"/>
              <w:rPr>
                <w:sz w:val="20"/>
                <w:szCs w:val="20"/>
                <w:color w:val="auto"/>
              </w:rPr>
            </w:pPr>
            <w:r>
              <w:rPr>
                <w:rFonts w:ascii="Arial" w:cs="Arial" w:eastAsia="Arial" w:hAnsi="Arial"/>
                <w:sz w:val="17"/>
                <w:szCs w:val="17"/>
                <w:color w:val="auto"/>
                <w:w w:val="94"/>
              </w:rPr>
              <w:t>Director</w:t>
            </w:r>
          </w:p>
        </w:tc>
        <w:tc>
          <w:tcPr>
            <w:tcW w:w="2660" w:type="dxa"/>
            <w:vAlign w:val="bottom"/>
            <w:vMerge w:val="restart"/>
          </w:tcPr>
          <w:p>
            <w:pPr>
              <w:ind w:left="220"/>
              <w:spacing w:after="0"/>
              <w:rPr>
                <w:sz w:val="20"/>
                <w:szCs w:val="20"/>
                <w:color w:val="auto"/>
              </w:rPr>
            </w:pPr>
            <w:r>
              <w:rPr>
                <w:rFonts w:ascii="Arial" w:cs="Arial" w:eastAsia="Arial" w:hAnsi="Arial"/>
                <w:sz w:val="17"/>
                <w:szCs w:val="17"/>
                <w:color w:val="auto"/>
              </w:rPr>
              <w:t>October 21, 2021</w:t>
            </w:r>
          </w:p>
        </w:tc>
        <w:tc>
          <w:tcPr>
            <w:tcW w:w="0" w:type="dxa"/>
            <w:vAlign w:val="bottom"/>
          </w:tcPr>
          <w:p>
            <w:pPr>
              <w:spacing w:after="0"/>
              <w:rPr>
                <w:sz w:val="1"/>
                <w:szCs w:val="1"/>
                <w:color w:val="auto"/>
              </w:rPr>
            </w:pPr>
          </w:p>
        </w:tc>
      </w:tr>
      <w:tr>
        <w:trPr>
          <w:trHeight w:val="51"/>
        </w:trPr>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3140" w:type="dxa"/>
            <w:vAlign w:val="bottom"/>
            <w:vMerge w:val="continue"/>
          </w:tcPr>
          <w:p>
            <w:pPr>
              <w:spacing w:after="0"/>
              <w:rPr>
                <w:sz w:val="4"/>
                <w:szCs w:val="4"/>
                <w:color w:val="auto"/>
              </w:rPr>
            </w:pPr>
          </w:p>
        </w:tc>
        <w:tc>
          <w:tcPr>
            <w:tcW w:w="2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8"/>
        </w:trPr>
        <w:tc>
          <w:tcPr>
            <w:tcW w:w="1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860" w:type="dxa"/>
            <w:vAlign w:val="bottom"/>
            <w:vMerge w:val="restart"/>
          </w:tcPr>
          <w:p>
            <w:pPr>
              <w:jc w:val="center"/>
              <w:spacing w:after="0"/>
              <w:rPr>
                <w:sz w:val="20"/>
                <w:szCs w:val="20"/>
                <w:color w:val="auto"/>
              </w:rPr>
            </w:pPr>
            <w:r>
              <w:rPr>
                <w:rFonts w:ascii="Arial" w:cs="Arial" w:eastAsia="Arial" w:hAnsi="Arial"/>
                <w:sz w:val="17"/>
                <w:szCs w:val="17"/>
                <w:color w:val="auto"/>
                <w:w w:val="94"/>
              </w:rPr>
              <w:t>Mark Blumenkranz</w:t>
            </w:r>
          </w:p>
        </w:tc>
        <w:tc>
          <w:tcPr>
            <w:tcW w:w="3140" w:type="dxa"/>
            <w:vAlign w:val="bottom"/>
            <w:vMerge w:val="continue"/>
          </w:tcPr>
          <w:p>
            <w:pPr>
              <w:spacing w:after="0"/>
              <w:rPr>
                <w:sz w:val="6"/>
                <w:szCs w:val="6"/>
                <w:color w:val="auto"/>
              </w:rPr>
            </w:pPr>
          </w:p>
        </w:tc>
        <w:tc>
          <w:tcPr>
            <w:tcW w:w="2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60" w:type="dxa"/>
            <w:vAlign w:val="bottom"/>
            <w:vMerge w:val="continue"/>
          </w:tcPr>
          <w:p>
            <w:pPr>
              <w:spacing w:after="0"/>
              <w:rPr>
                <w:sz w:val="12"/>
                <w:szCs w:val="12"/>
                <w:color w:val="auto"/>
              </w:rPr>
            </w:pPr>
          </w:p>
        </w:tc>
        <w:tc>
          <w:tcPr>
            <w:tcW w:w="31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7"/>
        </w:trPr>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Arial" w:cs="Arial" w:eastAsia="Arial" w:hAnsi="Arial"/>
                <w:sz w:val="17"/>
                <w:szCs w:val="17"/>
                <w:color w:val="auto"/>
                <w:w w:val="97"/>
              </w:rPr>
              <w:t>/s/ AXEL BOLTE</w:t>
            </w:r>
          </w:p>
        </w:tc>
        <w:tc>
          <w:tcPr>
            <w:tcW w:w="3140" w:type="dxa"/>
            <w:vAlign w:val="bottom"/>
            <w:vMerge w:val="restart"/>
          </w:tcPr>
          <w:p>
            <w:pPr>
              <w:jc w:val="center"/>
              <w:ind w:left="17"/>
              <w:spacing w:after="0"/>
              <w:rPr>
                <w:sz w:val="20"/>
                <w:szCs w:val="20"/>
                <w:color w:val="auto"/>
              </w:rPr>
            </w:pPr>
            <w:r>
              <w:rPr>
                <w:rFonts w:ascii="Arial" w:cs="Arial" w:eastAsia="Arial" w:hAnsi="Arial"/>
                <w:sz w:val="17"/>
                <w:szCs w:val="17"/>
                <w:color w:val="auto"/>
                <w:w w:val="94"/>
              </w:rPr>
              <w:t>Director</w:t>
            </w:r>
          </w:p>
        </w:tc>
        <w:tc>
          <w:tcPr>
            <w:tcW w:w="2660" w:type="dxa"/>
            <w:vAlign w:val="bottom"/>
            <w:vMerge w:val="restart"/>
          </w:tcPr>
          <w:p>
            <w:pPr>
              <w:ind w:left="220"/>
              <w:spacing w:after="0"/>
              <w:rPr>
                <w:sz w:val="20"/>
                <w:szCs w:val="20"/>
                <w:color w:val="auto"/>
              </w:rPr>
            </w:pPr>
            <w:r>
              <w:rPr>
                <w:rFonts w:ascii="Arial" w:cs="Arial" w:eastAsia="Arial" w:hAnsi="Arial"/>
                <w:sz w:val="17"/>
                <w:szCs w:val="17"/>
                <w:color w:val="auto"/>
              </w:rPr>
              <w:t>October 21, 2021</w:t>
            </w:r>
          </w:p>
        </w:tc>
        <w:tc>
          <w:tcPr>
            <w:tcW w:w="0" w:type="dxa"/>
            <w:vAlign w:val="bottom"/>
          </w:tcPr>
          <w:p>
            <w:pPr>
              <w:spacing w:after="0"/>
              <w:rPr>
                <w:sz w:val="1"/>
                <w:szCs w:val="1"/>
                <w:color w:val="auto"/>
              </w:rPr>
            </w:pPr>
          </w:p>
        </w:tc>
      </w:tr>
      <w:tr>
        <w:trPr>
          <w:trHeight w:val="51"/>
        </w:trPr>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3140" w:type="dxa"/>
            <w:vAlign w:val="bottom"/>
            <w:vMerge w:val="continue"/>
          </w:tcPr>
          <w:p>
            <w:pPr>
              <w:spacing w:after="0"/>
              <w:rPr>
                <w:sz w:val="4"/>
                <w:szCs w:val="4"/>
                <w:color w:val="auto"/>
              </w:rPr>
            </w:pPr>
          </w:p>
        </w:tc>
        <w:tc>
          <w:tcPr>
            <w:tcW w:w="2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8"/>
        </w:trPr>
        <w:tc>
          <w:tcPr>
            <w:tcW w:w="1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860" w:type="dxa"/>
            <w:vAlign w:val="bottom"/>
            <w:vMerge w:val="restart"/>
          </w:tcPr>
          <w:p>
            <w:pPr>
              <w:jc w:val="center"/>
              <w:spacing w:after="0"/>
              <w:rPr>
                <w:sz w:val="20"/>
                <w:szCs w:val="20"/>
                <w:color w:val="auto"/>
              </w:rPr>
            </w:pPr>
            <w:r>
              <w:rPr>
                <w:rFonts w:ascii="Arial" w:cs="Arial" w:eastAsia="Arial" w:hAnsi="Arial"/>
                <w:sz w:val="17"/>
                <w:szCs w:val="17"/>
                <w:color w:val="auto"/>
                <w:w w:val="99"/>
              </w:rPr>
              <w:t>Axel Bolte</w:t>
            </w:r>
          </w:p>
        </w:tc>
        <w:tc>
          <w:tcPr>
            <w:tcW w:w="3140" w:type="dxa"/>
            <w:vAlign w:val="bottom"/>
            <w:vMerge w:val="continue"/>
          </w:tcPr>
          <w:p>
            <w:pPr>
              <w:spacing w:after="0"/>
              <w:rPr>
                <w:sz w:val="6"/>
                <w:szCs w:val="6"/>
                <w:color w:val="auto"/>
              </w:rPr>
            </w:pPr>
          </w:p>
        </w:tc>
        <w:tc>
          <w:tcPr>
            <w:tcW w:w="2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60" w:type="dxa"/>
            <w:vAlign w:val="bottom"/>
            <w:vMerge w:val="continue"/>
          </w:tcPr>
          <w:p>
            <w:pPr>
              <w:spacing w:after="0"/>
              <w:rPr>
                <w:sz w:val="12"/>
                <w:szCs w:val="12"/>
                <w:color w:val="auto"/>
              </w:rPr>
            </w:pPr>
          </w:p>
        </w:tc>
        <w:tc>
          <w:tcPr>
            <w:tcW w:w="31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5"/>
        </w:trPr>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140" w:type="dxa"/>
            <w:vAlign w:val="bottom"/>
          </w:tcPr>
          <w:p>
            <w:pPr>
              <w:ind w:left="740"/>
              <w:spacing w:after="0"/>
              <w:rPr>
                <w:sz w:val="20"/>
                <w:szCs w:val="20"/>
                <w:color w:val="auto"/>
              </w:rPr>
            </w:pPr>
            <w:r>
              <w:rPr>
                <w:rFonts w:ascii="Arial" w:cs="Arial" w:eastAsia="Arial" w:hAnsi="Arial"/>
                <w:sz w:val="17"/>
                <w:szCs w:val="17"/>
                <w:color w:val="auto"/>
              </w:rPr>
              <w:t>II-6</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1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-27940</wp:posOffset>
            </wp:positionV>
            <wp:extent cx="33020"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7">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-27940</wp:posOffset>
            </wp:positionV>
            <wp:extent cx="33020"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8">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9840"/>
          </w:cols>
          <w:pgMar w:left="1020" w:top="132" w:right="1039" w:bottom="1440" w:gutter="0" w:footer="0" w:header="0"/>
        </w:sectPr>
      </w:pPr>
    </w:p>
    <w:bookmarkStart w:id="42" w:name="page43"/>
    <w:bookmarkEnd w:id="42"/>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340"/>
        <w:spacing w:after="0"/>
        <w:tabs>
          <w:tab w:leader="none" w:pos="5520" w:val="left"/>
          <w:tab w:leader="none" w:pos="7840" w:val="left"/>
        </w:tabs>
        <w:rPr>
          <w:sz w:val="20"/>
          <w:szCs w:val="20"/>
          <w:color w:val="auto"/>
        </w:rPr>
      </w:pPr>
      <w:r>
        <w:rPr>
          <w:rFonts w:ascii="Arial" w:cs="Arial" w:eastAsia="Arial" w:hAnsi="Arial"/>
          <w:sz w:val="13"/>
          <w:szCs w:val="13"/>
          <w:b w:val="1"/>
          <w:bCs w:val="1"/>
          <w:color w:val="auto"/>
        </w:rPr>
        <w:t>Signature</w:t>
      </w:r>
      <w:r>
        <w:rPr>
          <w:sz w:val="20"/>
          <w:szCs w:val="20"/>
          <w:color w:val="auto"/>
        </w:rPr>
        <w:tab/>
      </w:r>
      <w:r>
        <w:rPr>
          <w:rFonts w:ascii="Arial" w:cs="Arial" w:eastAsia="Arial" w:hAnsi="Arial"/>
          <w:sz w:val="13"/>
          <w:szCs w:val="13"/>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736600</wp:posOffset>
            </wp:positionH>
            <wp:positionV relativeFrom="paragraph">
              <wp:posOffset>27940</wp:posOffset>
            </wp:positionV>
            <wp:extent cx="478853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9">
                      <a:extLst>
                        <a:ext uri="{28A0092B-C50C-407E-A947-70E740481C1C}"/>
                      </a:extLst>
                    </a:blip>
                    <a:srcRect/>
                    <a:stretch>
                      <a:fillRect/>
                    </a:stretch>
                  </pic:blipFill>
                  <pic:spPr bwMode="auto">
                    <a:xfrm>
                      <a:off x="0" y="0"/>
                      <a:ext cx="4788535" cy="762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tbl>
      <w:tblPr>
        <w:tblLayout w:type="fixed"/>
        <w:tblInd w:w="1180" w:type="dxa"/>
        <w:tblCellMar>
          <w:top w:w="0" w:type="dxa"/>
          <w:left w:w="0" w:type="dxa"/>
          <w:bottom w:w="0" w:type="dxa"/>
          <w:right w:w="0" w:type="dxa"/>
        </w:tblCellMar>
      </w:tblPr>
      <w:tr>
        <w:trPr>
          <w:trHeight w:val="195"/>
        </w:trPr>
        <w:tc>
          <w:tcPr>
            <w:tcW w:w="5480" w:type="dxa"/>
            <w:vAlign w:val="bottom"/>
            <w:gridSpan w:val="2"/>
          </w:tcPr>
          <w:p>
            <w:pPr>
              <w:jc w:val="center"/>
              <w:ind w:right="2540"/>
              <w:spacing w:after="0"/>
              <w:rPr>
                <w:sz w:val="20"/>
                <w:szCs w:val="20"/>
                <w:color w:val="auto"/>
              </w:rPr>
            </w:pPr>
            <w:r>
              <w:rPr>
                <w:rFonts w:ascii="Arial" w:cs="Arial" w:eastAsia="Arial" w:hAnsi="Arial"/>
                <w:sz w:val="17"/>
                <w:szCs w:val="17"/>
                <w:color w:val="auto"/>
                <w:w w:val="92"/>
              </w:rPr>
              <w:t>/s/ JANE P. HENDERSON</w:t>
            </w: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2860" w:type="dxa"/>
            <w:vAlign w:val="bottom"/>
            <w:tcBorders>
              <w:bottom w:val="single" w:sz="8" w:color="auto"/>
            </w:tcBorders>
          </w:tcPr>
          <w:p>
            <w:pPr>
              <w:spacing w:after="0"/>
              <w:rPr>
                <w:sz w:val="7"/>
                <w:szCs w:val="7"/>
                <w:color w:val="auto"/>
              </w:rPr>
            </w:pPr>
          </w:p>
        </w:tc>
        <w:tc>
          <w:tcPr>
            <w:tcW w:w="2620" w:type="dxa"/>
            <w:vAlign w:val="bottom"/>
            <w:vMerge w:val="restart"/>
          </w:tcPr>
          <w:p>
            <w:pPr>
              <w:ind w:left="1340"/>
              <w:spacing w:after="0" w:line="149" w:lineRule="exact"/>
              <w:rPr>
                <w:sz w:val="20"/>
                <w:szCs w:val="20"/>
                <w:color w:val="auto"/>
              </w:rPr>
            </w:pPr>
            <w:r>
              <w:rPr>
                <w:rFonts w:ascii="Arial" w:cs="Arial" w:eastAsia="Arial" w:hAnsi="Arial"/>
                <w:sz w:val="17"/>
                <w:szCs w:val="17"/>
                <w:color w:val="auto"/>
              </w:rPr>
              <w:t>Director</w:t>
            </w:r>
          </w:p>
        </w:tc>
        <w:tc>
          <w:tcPr>
            <w:tcW w:w="1920" w:type="dxa"/>
            <w:vAlign w:val="bottom"/>
            <w:vMerge w:val="restart"/>
          </w:tcPr>
          <w:p>
            <w:pPr>
              <w:ind w:left="720"/>
              <w:spacing w:after="0" w:line="149" w:lineRule="exact"/>
              <w:rPr>
                <w:sz w:val="20"/>
                <w:szCs w:val="20"/>
                <w:color w:val="auto"/>
              </w:rPr>
            </w:pPr>
            <w:r>
              <w:rPr>
                <w:rFonts w:ascii="Arial" w:cs="Arial" w:eastAsia="Arial" w:hAnsi="Arial"/>
                <w:sz w:val="17"/>
                <w:szCs w:val="17"/>
                <w:color w:val="auto"/>
                <w:w w:val="89"/>
              </w:rPr>
              <w:t>October 21, 2021</w:t>
            </w:r>
          </w:p>
        </w:tc>
        <w:tc>
          <w:tcPr>
            <w:tcW w:w="0" w:type="dxa"/>
            <w:vAlign w:val="bottom"/>
          </w:tcPr>
          <w:p>
            <w:pPr>
              <w:spacing w:after="0"/>
              <w:rPr>
                <w:sz w:val="1"/>
                <w:szCs w:val="1"/>
                <w:color w:val="auto"/>
              </w:rPr>
            </w:pPr>
          </w:p>
        </w:tc>
      </w:tr>
      <w:tr>
        <w:trPr>
          <w:trHeight w:val="42"/>
        </w:trPr>
        <w:tc>
          <w:tcPr>
            <w:tcW w:w="2860" w:type="dxa"/>
            <w:vAlign w:val="bottom"/>
          </w:tcPr>
          <w:p>
            <w:pPr>
              <w:spacing w:after="0"/>
              <w:rPr>
                <w:sz w:val="3"/>
                <w:szCs w:val="3"/>
                <w:color w:val="auto"/>
              </w:rPr>
            </w:pPr>
          </w:p>
        </w:tc>
        <w:tc>
          <w:tcPr>
            <w:tcW w:w="2620" w:type="dxa"/>
            <w:vAlign w:val="bottom"/>
            <w:vMerge w:val="continue"/>
          </w:tcPr>
          <w:p>
            <w:pPr>
              <w:spacing w:after="0"/>
              <w:rPr>
                <w:sz w:val="3"/>
                <w:szCs w:val="3"/>
                <w:color w:val="auto"/>
              </w:rPr>
            </w:pPr>
          </w:p>
        </w:tc>
        <w:tc>
          <w:tcPr>
            <w:tcW w:w="1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5480" w:type="dxa"/>
            <w:vAlign w:val="bottom"/>
            <w:gridSpan w:val="2"/>
          </w:tcPr>
          <w:p>
            <w:pPr>
              <w:jc w:val="center"/>
              <w:ind w:right="2540"/>
              <w:spacing w:after="0"/>
              <w:rPr>
                <w:sz w:val="20"/>
                <w:szCs w:val="20"/>
                <w:color w:val="auto"/>
              </w:rPr>
            </w:pPr>
            <w:r>
              <w:rPr>
                <w:rFonts w:ascii="Arial" w:cs="Arial" w:eastAsia="Arial" w:hAnsi="Arial"/>
                <w:sz w:val="17"/>
                <w:szCs w:val="17"/>
                <w:color w:val="auto"/>
                <w:w w:val="86"/>
              </w:rPr>
              <w:t>Jane P. Henderson</w:t>
            </w: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5480" w:type="dxa"/>
            <w:vAlign w:val="bottom"/>
            <w:gridSpan w:val="2"/>
          </w:tcPr>
          <w:p>
            <w:pPr>
              <w:jc w:val="center"/>
              <w:ind w:right="2560"/>
              <w:spacing w:after="0"/>
              <w:rPr>
                <w:sz w:val="20"/>
                <w:szCs w:val="20"/>
                <w:color w:val="auto"/>
              </w:rPr>
            </w:pPr>
            <w:r>
              <w:rPr>
                <w:rFonts w:ascii="Arial" w:cs="Arial" w:eastAsia="Arial" w:hAnsi="Arial"/>
                <w:sz w:val="17"/>
                <w:szCs w:val="17"/>
                <w:color w:val="auto"/>
                <w:w w:val="95"/>
              </w:rPr>
              <w:t>/s/ CALVIN W. ROBERTS</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860" w:type="dxa"/>
            <w:vAlign w:val="bottom"/>
            <w:tcBorders>
              <w:bottom w:val="single" w:sz="8" w:color="auto"/>
            </w:tcBorders>
          </w:tcPr>
          <w:p>
            <w:pPr>
              <w:spacing w:after="0"/>
              <w:rPr>
                <w:sz w:val="7"/>
                <w:szCs w:val="7"/>
                <w:color w:val="auto"/>
              </w:rPr>
            </w:pPr>
          </w:p>
        </w:tc>
        <w:tc>
          <w:tcPr>
            <w:tcW w:w="2620" w:type="dxa"/>
            <w:vAlign w:val="bottom"/>
            <w:vMerge w:val="restart"/>
          </w:tcPr>
          <w:p>
            <w:pPr>
              <w:ind w:left="1340"/>
              <w:spacing w:after="0" w:line="136" w:lineRule="exact"/>
              <w:rPr>
                <w:sz w:val="20"/>
                <w:szCs w:val="20"/>
                <w:color w:val="auto"/>
              </w:rPr>
            </w:pPr>
            <w:r>
              <w:rPr>
                <w:rFonts w:ascii="Arial" w:cs="Arial" w:eastAsia="Arial" w:hAnsi="Arial"/>
                <w:sz w:val="15"/>
                <w:szCs w:val="15"/>
                <w:color w:val="auto"/>
              </w:rPr>
              <w:t>Director</w:t>
            </w:r>
          </w:p>
        </w:tc>
        <w:tc>
          <w:tcPr>
            <w:tcW w:w="1920" w:type="dxa"/>
            <w:vAlign w:val="bottom"/>
            <w:vMerge w:val="restart"/>
          </w:tcPr>
          <w:p>
            <w:pPr>
              <w:ind w:left="720"/>
              <w:spacing w:after="0" w:line="136" w:lineRule="exact"/>
              <w:rPr>
                <w:sz w:val="20"/>
                <w:szCs w:val="20"/>
                <w:color w:val="auto"/>
              </w:rPr>
            </w:pPr>
            <w:r>
              <w:rPr>
                <w:rFonts w:ascii="Arial" w:cs="Arial" w:eastAsia="Arial" w:hAnsi="Arial"/>
                <w:sz w:val="15"/>
                <w:szCs w:val="15"/>
                <w:color w:val="auto"/>
              </w:rPr>
              <w:t>October 21, 2021</w:t>
            </w:r>
          </w:p>
        </w:tc>
        <w:tc>
          <w:tcPr>
            <w:tcW w:w="0" w:type="dxa"/>
            <w:vAlign w:val="bottom"/>
          </w:tcPr>
          <w:p>
            <w:pPr>
              <w:spacing w:after="0"/>
              <w:rPr>
                <w:sz w:val="1"/>
                <w:szCs w:val="1"/>
                <w:color w:val="auto"/>
              </w:rPr>
            </w:pPr>
          </w:p>
        </w:tc>
      </w:tr>
      <w:tr>
        <w:trPr>
          <w:trHeight w:val="30"/>
        </w:trPr>
        <w:tc>
          <w:tcPr>
            <w:tcW w:w="2860" w:type="dxa"/>
            <w:vAlign w:val="bottom"/>
          </w:tcPr>
          <w:p>
            <w:pPr>
              <w:spacing w:after="0"/>
              <w:rPr>
                <w:sz w:val="2"/>
                <w:szCs w:val="2"/>
                <w:color w:val="auto"/>
              </w:rPr>
            </w:pPr>
          </w:p>
        </w:tc>
        <w:tc>
          <w:tcPr>
            <w:tcW w:w="2620" w:type="dxa"/>
            <w:vAlign w:val="bottom"/>
            <w:vMerge w:val="continue"/>
          </w:tcPr>
          <w:p>
            <w:pPr>
              <w:spacing w:after="0"/>
              <w:rPr>
                <w:sz w:val="2"/>
                <w:szCs w:val="2"/>
                <w:color w:val="auto"/>
              </w:rPr>
            </w:pPr>
          </w:p>
        </w:tc>
        <w:tc>
          <w:tcPr>
            <w:tcW w:w="1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5480" w:type="dxa"/>
            <w:vAlign w:val="bottom"/>
            <w:gridSpan w:val="2"/>
          </w:tcPr>
          <w:p>
            <w:pPr>
              <w:jc w:val="center"/>
              <w:ind w:right="2560"/>
              <w:spacing w:after="0"/>
              <w:rPr>
                <w:sz w:val="20"/>
                <w:szCs w:val="20"/>
                <w:color w:val="auto"/>
              </w:rPr>
            </w:pPr>
            <w:r>
              <w:rPr>
                <w:rFonts w:ascii="Arial" w:cs="Arial" w:eastAsia="Arial" w:hAnsi="Arial"/>
                <w:sz w:val="17"/>
                <w:szCs w:val="17"/>
                <w:color w:val="auto"/>
                <w:w w:val="94"/>
              </w:rPr>
              <w:t>Calvin W. Roberts, M.D.</w:t>
            </w: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225425</wp:posOffset>
            </wp:positionV>
            <wp:extent cx="6271260"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0">
                      <a:extLst>
                        <a:ext uri="{28A0092B-C50C-407E-A947-70E740481C1C}"/>
                      </a:extLst>
                    </a:blip>
                    <a:srcRect/>
                    <a:stretch>
                      <a:fillRect/>
                    </a:stretch>
                  </pic:blipFill>
                  <pic:spPr bwMode="auto">
                    <a:xfrm>
                      <a:off x="0" y="0"/>
                      <a:ext cx="6271260" cy="41275"/>
                    </a:xfrm>
                    <a:prstGeom prst="rect">
                      <a:avLst/>
                    </a:prstGeom>
                    <a:noFill/>
                  </pic:spPr>
                </pic:pic>
              </a:graphicData>
            </a:graphic>
          </wp:anchor>
        </w:drawing>
      </w:r>
    </w:p>
    <w:p>
      <w:pPr>
        <w:sectPr>
          <w:pgSz w:w="11900" w:h="16838" w:orient="portrait"/>
          <w:cols w:equalWidth="0" w:num="1">
            <w:col w:w="9439"/>
          </w:cols>
          <w:pgMar w:left="1020" w:top="132" w:right="1440" w:bottom="1440" w:gutter="0" w:footer="0" w:header="0"/>
        </w:sectPr>
      </w:pPr>
    </w:p>
    <w:bookmarkStart w:id="43" w:name="page44"/>
    <w:bookmarkEnd w:id="43"/>
    <w:p>
      <w:pPr>
        <w:jc w:val="right"/>
        <w:spacing w:after="0"/>
        <w:rPr>
          <w:sz w:val="20"/>
          <w:szCs w:val="20"/>
          <w:color w:val="auto"/>
        </w:rPr>
      </w:pPr>
      <w:r>
        <w:rPr>
          <w:rFonts w:ascii="Arial" w:cs="Arial" w:eastAsia="Arial" w:hAnsi="Arial"/>
          <w:sz w:val="20"/>
          <w:szCs w:val="20"/>
          <w:b w:val="1"/>
          <w:bCs w:val="1"/>
          <w:color w:val="auto"/>
        </w:rPr>
        <w:t>Exhibit 4.3</w:t>
      </w:r>
    </w:p>
    <w:p>
      <w:pPr>
        <w:spacing w:after="0" w:line="22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IVERIC BIO, INC.</w:t>
      </w:r>
    </w:p>
    <w:p>
      <w:pPr>
        <w:spacing w:after="0" w:line="205"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167640</wp:posOffset>
            </wp:positionV>
            <wp:extent cx="107886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1">
                      <a:extLst>
                        <a:ext uri="{28A0092B-C50C-407E-A947-70E740481C1C}"/>
                      </a:extLst>
                    </a:blip>
                    <a:srcRect/>
                    <a:stretch>
                      <a:fillRect/>
                    </a:stretch>
                  </pic:blipFill>
                  <pic:spPr bwMode="auto">
                    <a:xfrm>
                      <a:off x="0" y="0"/>
                      <a:ext cx="1078865" cy="762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Trustee</w:t>
      </w:r>
    </w:p>
    <w:p>
      <w:pPr>
        <w:spacing w:after="0" w:line="197"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INDENTURE</w:t>
      </w:r>
    </w:p>
    <w:p>
      <w:pPr>
        <w:spacing w:after="0" w:line="205" w:lineRule="exact"/>
        <w:rPr>
          <w:sz w:val="20"/>
          <w:szCs w:val="20"/>
          <w:color w:val="auto"/>
        </w:rPr>
      </w:pPr>
    </w:p>
    <w:p>
      <w:pPr>
        <w:ind w:left="3480"/>
        <w:spacing w:after="0"/>
        <w:rPr>
          <w:sz w:val="20"/>
          <w:szCs w:val="20"/>
          <w:color w:val="auto"/>
        </w:rPr>
      </w:pPr>
      <w:r>
        <w:rPr>
          <w:rFonts w:ascii="Arial" w:cs="Arial" w:eastAsia="Arial" w:hAnsi="Arial"/>
          <w:sz w:val="17"/>
          <w:szCs w:val="17"/>
          <w:color w:val="auto"/>
        </w:rPr>
        <w:t>Dated as of _______________</w:t>
      </w:r>
    </w:p>
    <w:p>
      <w:pPr>
        <w:spacing w:after="0" w:line="197" w:lineRule="exact"/>
        <w:rPr>
          <w:sz w:val="20"/>
          <w:szCs w:val="20"/>
          <w:color w:val="auto"/>
        </w:rPr>
      </w:pPr>
    </w:p>
    <w:p>
      <w:pPr>
        <w:ind w:left="3420"/>
        <w:spacing w:after="0"/>
        <w:rPr>
          <w:sz w:val="20"/>
          <w:szCs w:val="20"/>
          <w:color w:val="auto"/>
        </w:rPr>
      </w:pPr>
      <w:r>
        <w:rPr>
          <w:rFonts w:ascii="Arial" w:cs="Arial" w:eastAsia="Arial" w:hAnsi="Arial"/>
          <w:sz w:val="17"/>
          <w:szCs w:val="17"/>
          <w:b w:val="1"/>
          <w:bCs w:val="1"/>
          <w:color w:val="auto"/>
        </w:rPr>
        <w:t>SENIOR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414020</wp:posOffset>
            </wp:positionV>
            <wp:extent cx="714375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2">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0120"/>
          </w:cols>
          <w:pgMar w:left="1440" w:top="114" w:right="339" w:bottom="1440" w:gutter="0" w:footer="0" w:header="0"/>
        </w:sectPr>
      </w:pPr>
    </w:p>
    <w:bookmarkStart w:id="44" w:name="page45"/>
    <w:bookmarkEnd w:id="44"/>
    <w:tbl>
      <w:tblPr>
        <w:tblLayout w:type="fixed"/>
        <w:tblInd w:w="1" w:type="dxa"/>
        <w:tblCellMar>
          <w:top w:w="0" w:type="dxa"/>
          <w:left w:w="0" w:type="dxa"/>
          <w:bottom w:w="0" w:type="dxa"/>
          <w:right w:w="0" w:type="dxa"/>
        </w:tblCellMar>
      </w:tblPr>
      <w:tr>
        <w:trPr>
          <w:trHeight w:val="310"/>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6760" w:type="dxa"/>
            <w:vAlign w:val="bottom"/>
            <w:gridSpan w:val="4"/>
          </w:tcPr>
          <w:p>
            <w:pPr>
              <w:spacing w:after="0"/>
              <w:rPr>
                <w:sz w:val="20"/>
                <w:szCs w:val="20"/>
                <w:color w:val="auto"/>
              </w:rPr>
            </w:pPr>
            <w:r>
              <w:rPr>
                <w:rFonts w:ascii="Arial" w:cs="Arial" w:eastAsia="Arial" w:hAnsi="Arial"/>
                <w:sz w:val="17"/>
                <w:szCs w:val="17"/>
                <w:b w:val="1"/>
                <w:bCs w:val="1"/>
                <w:color w:val="auto"/>
              </w:rPr>
              <w:t>CROSS-REFERENCE TABLE</w:t>
            </w:r>
            <w:r>
              <w:rPr>
                <w:rFonts w:ascii="Arial" w:cs="Arial" w:eastAsia="Arial" w:hAnsi="Arial"/>
                <w:sz w:val="27"/>
                <w:szCs w:val="27"/>
                <w:b w:val="1"/>
                <w:bCs w:val="1"/>
                <w:color w:val="auto"/>
                <w:vertAlign w:val="superscript"/>
              </w:rPr>
              <w:t>1</w:t>
            </w:r>
          </w:p>
        </w:tc>
      </w:tr>
      <w:tr>
        <w:trPr>
          <w:trHeight w:val="402"/>
        </w:trPr>
        <w:tc>
          <w:tcPr>
            <w:tcW w:w="4480" w:type="dxa"/>
            <w:vAlign w:val="bottom"/>
            <w:gridSpan w:val="2"/>
          </w:tcPr>
          <w:p>
            <w:pPr>
              <w:spacing w:after="0"/>
              <w:rPr>
                <w:sz w:val="20"/>
                <w:szCs w:val="20"/>
                <w:color w:val="auto"/>
              </w:rPr>
            </w:pPr>
            <w:r>
              <w:rPr>
                <w:rFonts w:ascii="Arial" w:cs="Arial" w:eastAsia="Arial" w:hAnsi="Arial"/>
                <w:sz w:val="17"/>
                <w:szCs w:val="17"/>
                <w:color w:val="auto"/>
              </w:rPr>
              <w:t>Section of</w:t>
            </w:r>
          </w:p>
        </w:tc>
        <w:tc>
          <w:tcPr>
            <w:tcW w:w="2220" w:type="dxa"/>
            <w:vAlign w:val="bottom"/>
            <w:tcBorders>
              <w:top w:val="single" w:sz="8" w:color="auto"/>
            </w:tcBorders>
          </w:tcPr>
          <w:p>
            <w:pPr>
              <w:spacing w:after="0"/>
              <w:rPr>
                <w:sz w:val="24"/>
                <w:szCs w:val="24"/>
                <w:color w:val="auto"/>
              </w:rPr>
            </w:pPr>
          </w:p>
        </w:tc>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98"/>
        </w:trPr>
        <w:tc>
          <w:tcPr>
            <w:tcW w:w="4480" w:type="dxa"/>
            <w:vAlign w:val="bottom"/>
            <w:gridSpan w:val="2"/>
          </w:tcPr>
          <w:p>
            <w:pPr>
              <w:spacing w:after="0"/>
              <w:rPr>
                <w:sz w:val="20"/>
                <w:szCs w:val="20"/>
                <w:color w:val="auto"/>
              </w:rPr>
            </w:pPr>
            <w:r>
              <w:rPr>
                <w:rFonts w:ascii="Arial" w:cs="Arial" w:eastAsia="Arial" w:hAnsi="Arial"/>
                <w:sz w:val="17"/>
                <w:szCs w:val="17"/>
                <w:color w:val="auto"/>
              </w:rPr>
              <w:t>Trust Indenture Act</w:t>
            </w:r>
          </w:p>
        </w:tc>
        <w:tc>
          <w:tcPr>
            <w:tcW w:w="22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20"/>
                <w:szCs w:val="20"/>
                <w:color w:val="auto"/>
              </w:rPr>
            </w:pPr>
            <w:r>
              <w:rPr>
                <w:rFonts w:ascii="Arial" w:cs="Arial" w:eastAsia="Arial" w:hAnsi="Arial"/>
                <w:sz w:val="17"/>
                <w:szCs w:val="17"/>
                <w:color w:val="auto"/>
              </w:rPr>
              <w:t>Section of</w:t>
            </w:r>
          </w:p>
        </w:tc>
      </w:tr>
      <w:tr>
        <w:trPr>
          <w:trHeight w:val="209"/>
        </w:trPr>
        <w:tc>
          <w:tcPr>
            <w:tcW w:w="4480" w:type="dxa"/>
            <w:vAlign w:val="bottom"/>
            <w:gridSpan w:val="2"/>
          </w:tcPr>
          <w:p>
            <w:pPr>
              <w:spacing w:after="0"/>
              <w:rPr>
                <w:sz w:val="20"/>
                <w:szCs w:val="20"/>
                <w:color w:val="auto"/>
              </w:rPr>
            </w:pPr>
            <w:r>
              <w:rPr>
                <w:rFonts w:ascii="Arial" w:cs="Arial" w:eastAsia="Arial" w:hAnsi="Arial"/>
                <w:sz w:val="17"/>
                <w:szCs w:val="17"/>
                <w:color w:val="auto"/>
              </w:rPr>
              <w:t>of 1939, as amended</w:t>
            </w:r>
          </w:p>
        </w:tc>
        <w:tc>
          <w:tcPr>
            <w:tcW w:w="2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7"/>
                <w:szCs w:val="17"/>
                <w:color w:val="auto"/>
              </w:rPr>
              <w:t>Indenture</w:t>
            </w:r>
          </w:p>
        </w:tc>
      </w:tr>
      <w:tr>
        <w:trPr>
          <w:trHeight w:val="180"/>
        </w:trPr>
        <w:tc>
          <w:tcPr>
            <w:tcW w:w="20" w:type="dxa"/>
            <w:vAlign w:val="bottom"/>
          </w:tcPr>
          <w:p>
            <w:pPr>
              <w:spacing w:after="0"/>
              <w:rPr>
                <w:sz w:val="15"/>
                <w:szCs w:val="15"/>
                <w:color w:val="auto"/>
              </w:rPr>
            </w:pPr>
          </w:p>
        </w:tc>
        <w:tc>
          <w:tcPr>
            <w:tcW w:w="4460" w:type="dxa"/>
            <w:vAlign w:val="bottom"/>
            <w:tcBorders>
              <w:top w:val="single" w:sz="8" w:color="auto"/>
            </w:tcBorders>
          </w:tcPr>
          <w:p>
            <w:pPr>
              <w:spacing w:after="0" w:line="180" w:lineRule="exact"/>
              <w:rPr>
                <w:sz w:val="20"/>
                <w:szCs w:val="20"/>
                <w:color w:val="auto"/>
              </w:rPr>
            </w:pPr>
            <w:r>
              <w:rPr>
                <w:rFonts w:ascii="Arial" w:cs="Arial" w:eastAsia="Arial" w:hAnsi="Arial"/>
                <w:sz w:val="17"/>
                <w:szCs w:val="17"/>
                <w:color w:val="auto"/>
              </w:rPr>
              <w:t>310(a)</w:t>
            </w:r>
          </w:p>
        </w:tc>
        <w:tc>
          <w:tcPr>
            <w:tcW w:w="2220" w:type="dxa"/>
            <w:vAlign w:val="bottom"/>
            <w:tcBorders>
              <w:top w:val="single" w:sz="8" w:color="auto"/>
            </w:tcBorders>
          </w:tcPr>
          <w:p>
            <w:pPr>
              <w:spacing w:after="0"/>
              <w:rPr>
                <w:sz w:val="15"/>
                <w:szCs w:val="15"/>
                <w:color w:val="auto"/>
              </w:rPr>
            </w:pPr>
          </w:p>
        </w:tc>
        <w:tc>
          <w:tcPr>
            <w:tcW w:w="20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tcBorders>
              <w:top w:val="single" w:sz="8" w:color="auto"/>
            </w:tcBorders>
          </w:tcPr>
          <w:p>
            <w:pPr>
              <w:spacing w:after="0" w:line="180" w:lineRule="exact"/>
              <w:rPr>
                <w:sz w:val="20"/>
                <w:szCs w:val="20"/>
                <w:color w:val="auto"/>
              </w:rPr>
            </w:pPr>
            <w:r>
              <w:rPr>
                <w:rFonts w:ascii="Arial" w:cs="Arial" w:eastAsia="Arial" w:hAnsi="Arial"/>
                <w:sz w:val="17"/>
                <w:szCs w:val="17"/>
                <w:color w:val="auto"/>
              </w:rPr>
              <w:t>6.09</w:t>
            </w:r>
          </w:p>
        </w:tc>
      </w:tr>
      <w:tr>
        <w:trPr>
          <w:trHeight w:val="198"/>
        </w:trPr>
        <w:tc>
          <w:tcPr>
            <w:tcW w:w="4480" w:type="dxa"/>
            <w:vAlign w:val="bottom"/>
            <w:gridSpan w:val="2"/>
          </w:tcPr>
          <w:p>
            <w:pPr>
              <w:spacing w:after="0"/>
              <w:rPr>
                <w:sz w:val="20"/>
                <w:szCs w:val="20"/>
                <w:color w:val="auto"/>
              </w:rPr>
            </w:pPr>
            <w:r>
              <w:rPr>
                <w:rFonts w:ascii="Arial" w:cs="Arial" w:eastAsia="Arial" w:hAnsi="Arial"/>
                <w:sz w:val="17"/>
                <w:szCs w:val="17"/>
                <w:color w:val="auto"/>
              </w:rPr>
              <w:t>310(b)</w:t>
            </w:r>
          </w:p>
        </w:tc>
        <w:tc>
          <w:tcPr>
            <w:tcW w:w="6760" w:type="dxa"/>
            <w:vAlign w:val="bottom"/>
            <w:gridSpan w:val="4"/>
          </w:tcPr>
          <w:p>
            <w:pPr>
              <w:ind w:left="4520"/>
              <w:spacing w:after="0"/>
              <w:rPr>
                <w:sz w:val="20"/>
                <w:szCs w:val="20"/>
                <w:color w:val="auto"/>
              </w:rPr>
            </w:pPr>
            <w:r>
              <w:rPr>
                <w:rFonts w:ascii="Arial" w:cs="Arial" w:eastAsia="Arial" w:hAnsi="Arial"/>
                <w:sz w:val="17"/>
                <w:szCs w:val="17"/>
                <w:color w:val="auto"/>
              </w:rPr>
              <w:t>6.08</w:t>
            </w:r>
          </w:p>
        </w:tc>
      </w:tr>
      <w:tr>
        <w:trPr>
          <w:trHeight w:val="198"/>
        </w:trPr>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6760" w:type="dxa"/>
            <w:vAlign w:val="bottom"/>
            <w:gridSpan w:val="4"/>
          </w:tcPr>
          <w:p>
            <w:pPr>
              <w:ind w:left="4520"/>
              <w:spacing w:after="0"/>
              <w:rPr>
                <w:sz w:val="20"/>
                <w:szCs w:val="20"/>
                <w:color w:val="auto"/>
              </w:rPr>
            </w:pPr>
            <w:r>
              <w:rPr>
                <w:rFonts w:ascii="Arial" w:cs="Arial" w:eastAsia="Arial" w:hAnsi="Arial"/>
                <w:sz w:val="17"/>
                <w:szCs w:val="17"/>
                <w:color w:val="auto"/>
              </w:rPr>
              <w:t>6.10</w:t>
            </w:r>
          </w:p>
        </w:tc>
      </w:tr>
      <w:tr>
        <w:trPr>
          <w:trHeight w:val="198"/>
        </w:trPr>
        <w:tc>
          <w:tcPr>
            <w:tcW w:w="4480" w:type="dxa"/>
            <w:vAlign w:val="bottom"/>
            <w:gridSpan w:val="2"/>
          </w:tcPr>
          <w:p>
            <w:pPr>
              <w:spacing w:after="0"/>
              <w:rPr>
                <w:sz w:val="20"/>
                <w:szCs w:val="20"/>
                <w:color w:val="auto"/>
              </w:rPr>
            </w:pPr>
            <w:r>
              <w:rPr>
                <w:rFonts w:ascii="Arial" w:cs="Arial" w:eastAsia="Arial" w:hAnsi="Arial"/>
                <w:sz w:val="17"/>
                <w:szCs w:val="17"/>
                <w:color w:val="auto"/>
              </w:rPr>
              <w:t>310(c)</w:t>
            </w:r>
          </w:p>
        </w:tc>
        <w:tc>
          <w:tcPr>
            <w:tcW w:w="22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20"/>
                <w:szCs w:val="20"/>
                <w:color w:val="auto"/>
              </w:rPr>
            </w:pPr>
            <w:r>
              <w:rPr>
                <w:rFonts w:ascii="Arial" w:cs="Arial" w:eastAsia="Arial" w:hAnsi="Arial"/>
                <w:sz w:val="17"/>
                <w:szCs w:val="17"/>
                <w:color w:val="auto"/>
              </w:rPr>
              <w:t>Inapplicable</w:t>
            </w:r>
          </w:p>
        </w:tc>
      </w:tr>
      <w:tr>
        <w:trPr>
          <w:trHeight w:val="198"/>
        </w:trPr>
        <w:tc>
          <w:tcPr>
            <w:tcW w:w="4480" w:type="dxa"/>
            <w:vAlign w:val="bottom"/>
            <w:gridSpan w:val="2"/>
          </w:tcPr>
          <w:p>
            <w:pPr>
              <w:spacing w:after="0"/>
              <w:rPr>
                <w:sz w:val="20"/>
                <w:szCs w:val="20"/>
                <w:color w:val="auto"/>
              </w:rPr>
            </w:pPr>
            <w:r>
              <w:rPr>
                <w:rFonts w:ascii="Arial" w:cs="Arial" w:eastAsia="Arial" w:hAnsi="Arial"/>
                <w:sz w:val="17"/>
                <w:szCs w:val="17"/>
                <w:color w:val="auto"/>
              </w:rPr>
              <w:t>311(a)</w:t>
            </w:r>
          </w:p>
        </w:tc>
        <w:tc>
          <w:tcPr>
            <w:tcW w:w="6760" w:type="dxa"/>
            <w:vAlign w:val="bottom"/>
            <w:gridSpan w:val="4"/>
          </w:tcPr>
          <w:p>
            <w:pPr>
              <w:ind w:left="4520"/>
              <w:spacing w:after="0"/>
              <w:rPr>
                <w:sz w:val="20"/>
                <w:szCs w:val="20"/>
                <w:color w:val="auto"/>
              </w:rPr>
            </w:pPr>
            <w:r>
              <w:rPr>
                <w:rFonts w:ascii="Arial" w:cs="Arial" w:eastAsia="Arial" w:hAnsi="Arial"/>
                <w:sz w:val="17"/>
                <w:szCs w:val="17"/>
                <w:color w:val="auto"/>
              </w:rPr>
              <w:t>6.13</w:t>
            </w:r>
          </w:p>
        </w:tc>
      </w:tr>
      <w:tr>
        <w:trPr>
          <w:trHeight w:val="198"/>
        </w:trPr>
        <w:tc>
          <w:tcPr>
            <w:tcW w:w="4480" w:type="dxa"/>
            <w:vAlign w:val="bottom"/>
            <w:gridSpan w:val="2"/>
          </w:tcPr>
          <w:p>
            <w:pPr>
              <w:spacing w:after="0"/>
              <w:rPr>
                <w:sz w:val="20"/>
                <w:szCs w:val="20"/>
                <w:color w:val="auto"/>
              </w:rPr>
            </w:pPr>
            <w:r>
              <w:rPr>
                <w:rFonts w:ascii="Arial" w:cs="Arial" w:eastAsia="Arial" w:hAnsi="Arial"/>
                <w:sz w:val="17"/>
                <w:szCs w:val="17"/>
                <w:color w:val="auto"/>
              </w:rPr>
              <w:t>311(b)</w:t>
            </w:r>
          </w:p>
        </w:tc>
        <w:tc>
          <w:tcPr>
            <w:tcW w:w="6760" w:type="dxa"/>
            <w:vAlign w:val="bottom"/>
            <w:gridSpan w:val="4"/>
          </w:tcPr>
          <w:p>
            <w:pPr>
              <w:ind w:left="4520"/>
              <w:spacing w:after="0"/>
              <w:rPr>
                <w:sz w:val="20"/>
                <w:szCs w:val="20"/>
                <w:color w:val="auto"/>
              </w:rPr>
            </w:pPr>
            <w:r>
              <w:rPr>
                <w:rFonts w:ascii="Arial" w:cs="Arial" w:eastAsia="Arial" w:hAnsi="Arial"/>
                <w:sz w:val="17"/>
                <w:szCs w:val="17"/>
                <w:color w:val="auto"/>
              </w:rPr>
              <w:t>6.13</w:t>
            </w:r>
          </w:p>
        </w:tc>
      </w:tr>
      <w:tr>
        <w:trPr>
          <w:trHeight w:val="198"/>
        </w:trPr>
        <w:tc>
          <w:tcPr>
            <w:tcW w:w="4480" w:type="dxa"/>
            <w:vAlign w:val="bottom"/>
            <w:gridSpan w:val="2"/>
          </w:tcPr>
          <w:p>
            <w:pPr>
              <w:spacing w:after="0"/>
              <w:rPr>
                <w:sz w:val="20"/>
                <w:szCs w:val="20"/>
                <w:color w:val="auto"/>
              </w:rPr>
            </w:pPr>
            <w:r>
              <w:rPr>
                <w:rFonts w:ascii="Arial" w:cs="Arial" w:eastAsia="Arial" w:hAnsi="Arial"/>
                <w:sz w:val="17"/>
                <w:szCs w:val="17"/>
                <w:color w:val="auto"/>
              </w:rPr>
              <w:t>311(c)</w:t>
            </w:r>
          </w:p>
        </w:tc>
        <w:tc>
          <w:tcPr>
            <w:tcW w:w="22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20"/>
                <w:szCs w:val="20"/>
                <w:color w:val="auto"/>
              </w:rPr>
            </w:pPr>
            <w:r>
              <w:rPr>
                <w:rFonts w:ascii="Arial" w:cs="Arial" w:eastAsia="Arial" w:hAnsi="Arial"/>
                <w:sz w:val="17"/>
                <w:szCs w:val="17"/>
                <w:color w:val="auto"/>
              </w:rPr>
              <w:t>Inapplicable</w:t>
            </w:r>
          </w:p>
        </w:tc>
      </w:tr>
      <w:tr>
        <w:trPr>
          <w:trHeight w:val="198"/>
        </w:trPr>
        <w:tc>
          <w:tcPr>
            <w:tcW w:w="4480" w:type="dxa"/>
            <w:vAlign w:val="bottom"/>
            <w:gridSpan w:val="2"/>
          </w:tcPr>
          <w:p>
            <w:pPr>
              <w:spacing w:after="0"/>
              <w:rPr>
                <w:sz w:val="20"/>
                <w:szCs w:val="20"/>
                <w:color w:val="auto"/>
              </w:rPr>
            </w:pPr>
            <w:r>
              <w:rPr>
                <w:rFonts w:ascii="Arial" w:cs="Arial" w:eastAsia="Arial" w:hAnsi="Arial"/>
                <w:sz w:val="17"/>
                <w:szCs w:val="17"/>
                <w:color w:val="auto"/>
              </w:rPr>
              <w:t>312(a)</w:t>
            </w:r>
          </w:p>
        </w:tc>
        <w:tc>
          <w:tcPr>
            <w:tcW w:w="6760" w:type="dxa"/>
            <w:vAlign w:val="bottom"/>
            <w:gridSpan w:val="4"/>
          </w:tcPr>
          <w:p>
            <w:pPr>
              <w:ind w:left="4520"/>
              <w:spacing w:after="0"/>
              <w:rPr>
                <w:sz w:val="20"/>
                <w:szCs w:val="20"/>
                <w:color w:val="auto"/>
              </w:rPr>
            </w:pPr>
            <w:r>
              <w:rPr>
                <w:rFonts w:ascii="Arial" w:cs="Arial" w:eastAsia="Arial" w:hAnsi="Arial"/>
                <w:sz w:val="17"/>
                <w:szCs w:val="17"/>
                <w:color w:val="auto"/>
              </w:rPr>
              <w:t>4.01</w:t>
            </w:r>
          </w:p>
        </w:tc>
      </w:tr>
      <w:tr>
        <w:trPr>
          <w:trHeight w:val="198"/>
        </w:trPr>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6760" w:type="dxa"/>
            <w:vAlign w:val="bottom"/>
            <w:gridSpan w:val="4"/>
          </w:tcPr>
          <w:p>
            <w:pPr>
              <w:ind w:left="4520"/>
              <w:spacing w:after="0"/>
              <w:rPr>
                <w:sz w:val="20"/>
                <w:szCs w:val="20"/>
                <w:color w:val="auto"/>
              </w:rPr>
            </w:pPr>
            <w:r>
              <w:rPr>
                <w:rFonts w:ascii="Arial" w:cs="Arial" w:eastAsia="Arial" w:hAnsi="Arial"/>
                <w:sz w:val="17"/>
                <w:szCs w:val="17"/>
                <w:color w:val="auto"/>
              </w:rPr>
              <w:t>4.04</w:t>
            </w:r>
          </w:p>
        </w:tc>
      </w:tr>
      <w:tr>
        <w:trPr>
          <w:trHeight w:val="198"/>
        </w:trPr>
        <w:tc>
          <w:tcPr>
            <w:tcW w:w="4480" w:type="dxa"/>
            <w:vAlign w:val="bottom"/>
            <w:gridSpan w:val="2"/>
          </w:tcPr>
          <w:p>
            <w:pPr>
              <w:spacing w:after="0"/>
              <w:rPr>
                <w:sz w:val="20"/>
                <w:szCs w:val="20"/>
                <w:color w:val="auto"/>
              </w:rPr>
            </w:pPr>
            <w:r>
              <w:rPr>
                <w:rFonts w:ascii="Arial" w:cs="Arial" w:eastAsia="Arial" w:hAnsi="Arial"/>
                <w:sz w:val="17"/>
                <w:szCs w:val="17"/>
                <w:color w:val="auto"/>
              </w:rPr>
              <w:t>312(b)</w:t>
            </w:r>
          </w:p>
        </w:tc>
        <w:tc>
          <w:tcPr>
            <w:tcW w:w="22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20"/>
                <w:szCs w:val="20"/>
                <w:color w:val="auto"/>
              </w:rPr>
            </w:pPr>
            <w:r>
              <w:rPr>
                <w:rFonts w:ascii="Arial" w:cs="Arial" w:eastAsia="Arial" w:hAnsi="Arial"/>
                <w:sz w:val="17"/>
                <w:szCs w:val="17"/>
                <w:color w:val="auto"/>
              </w:rPr>
              <w:t>4.04(c)</w:t>
            </w:r>
          </w:p>
        </w:tc>
      </w:tr>
      <w:tr>
        <w:trPr>
          <w:trHeight w:val="198"/>
        </w:trPr>
        <w:tc>
          <w:tcPr>
            <w:tcW w:w="4480" w:type="dxa"/>
            <w:vAlign w:val="bottom"/>
            <w:gridSpan w:val="2"/>
          </w:tcPr>
          <w:p>
            <w:pPr>
              <w:spacing w:after="0"/>
              <w:rPr>
                <w:sz w:val="20"/>
                <w:szCs w:val="20"/>
                <w:color w:val="auto"/>
              </w:rPr>
            </w:pPr>
            <w:r>
              <w:rPr>
                <w:rFonts w:ascii="Arial" w:cs="Arial" w:eastAsia="Arial" w:hAnsi="Arial"/>
                <w:sz w:val="17"/>
                <w:szCs w:val="17"/>
                <w:color w:val="auto"/>
              </w:rPr>
              <w:t>312(c)</w:t>
            </w:r>
          </w:p>
        </w:tc>
        <w:tc>
          <w:tcPr>
            <w:tcW w:w="22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20"/>
                <w:szCs w:val="20"/>
                <w:color w:val="auto"/>
              </w:rPr>
            </w:pPr>
            <w:r>
              <w:rPr>
                <w:rFonts w:ascii="Arial" w:cs="Arial" w:eastAsia="Arial" w:hAnsi="Arial"/>
                <w:sz w:val="17"/>
                <w:szCs w:val="17"/>
                <w:color w:val="auto"/>
              </w:rPr>
              <w:t>4.04(c)</w:t>
            </w:r>
          </w:p>
        </w:tc>
      </w:tr>
      <w:tr>
        <w:trPr>
          <w:trHeight w:val="198"/>
        </w:trPr>
        <w:tc>
          <w:tcPr>
            <w:tcW w:w="4480" w:type="dxa"/>
            <w:vAlign w:val="bottom"/>
            <w:gridSpan w:val="2"/>
          </w:tcPr>
          <w:p>
            <w:pPr>
              <w:spacing w:after="0"/>
              <w:rPr>
                <w:sz w:val="20"/>
                <w:szCs w:val="20"/>
                <w:color w:val="auto"/>
              </w:rPr>
            </w:pPr>
            <w:r>
              <w:rPr>
                <w:rFonts w:ascii="Arial" w:cs="Arial" w:eastAsia="Arial" w:hAnsi="Arial"/>
                <w:sz w:val="17"/>
                <w:szCs w:val="17"/>
                <w:color w:val="auto"/>
              </w:rPr>
              <w:t>313(a)</w:t>
            </w:r>
          </w:p>
        </w:tc>
        <w:tc>
          <w:tcPr>
            <w:tcW w:w="6760" w:type="dxa"/>
            <w:vAlign w:val="bottom"/>
            <w:gridSpan w:val="4"/>
          </w:tcPr>
          <w:p>
            <w:pPr>
              <w:ind w:left="4520"/>
              <w:spacing w:after="0"/>
              <w:rPr>
                <w:sz w:val="20"/>
                <w:szCs w:val="20"/>
                <w:color w:val="auto"/>
              </w:rPr>
            </w:pPr>
            <w:r>
              <w:rPr>
                <w:rFonts w:ascii="Arial" w:cs="Arial" w:eastAsia="Arial" w:hAnsi="Arial"/>
                <w:sz w:val="17"/>
                <w:szCs w:val="17"/>
                <w:color w:val="auto"/>
              </w:rPr>
              <w:t>4.03</w:t>
            </w:r>
          </w:p>
        </w:tc>
      </w:tr>
      <w:tr>
        <w:trPr>
          <w:trHeight w:val="198"/>
        </w:trPr>
        <w:tc>
          <w:tcPr>
            <w:tcW w:w="4480" w:type="dxa"/>
            <w:vAlign w:val="bottom"/>
            <w:gridSpan w:val="2"/>
          </w:tcPr>
          <w:p>
            <w:pPr>
              <w:spacing w:after="0"/>
              <w:rPr>
                <w:sz w:val="20"/>
                <w:szCs w:val="20"/>
                <w:color w:val="auto"/>
              </w:rPr>
            </w:pPr>
            <w:r>
              <w:rPr>
                <w:rFonts w:ascii="Arial" w:cs="Arial" w:eastAsia="Arial" w:hAnsi="Arial"/>
                <w:sz w:val="17"/>
                <w:szCs w:val="17"/>
                <w:color w:val="auto"/>
              </w:rPr>
              <w:t>313(b)</w:t>
            </w:r>
          </w:p>
        </w:tc>
        <w:tc>
          <w:tcPr>
            <w:tcW w:w="6760" w:type="dxa"/>
            <w:vAlign w:val="bottom"/>
            <w:gridSpan w:val="4"/>
          </w:tcPr>
          <w:p>
            <w:pPr>
              <w:ind w:left="4520"/>
              <w:spacing w:after="0"/>
              <w:rPr>
                <w:sz w:val="20"/>
                <w:szCs w:val="20"/>
                <w:color w:val="auto"/>
              </w:rPr>
            </w:pPr>
            <w:r>
              <w:rPr>
                <w:rFonts w:ascii="Arial" w:cs="Arial" w:eastAsia="Arial" w:hAnsi="Arial"/>
                <w:sz w:val="17"/>
                <w:szCs w:val="17"/>
                <w:color w:val="auto"/>
              </w:rPr>
              <w:t>4.03</w:t>
            </w:r>
          </w:p>
        </w:tc>
      </w:tr>
      <w:tr>
        <w:trPr>
          <w:trHeight w:val="198"/>
        </w:trPr>
        <w:tc>
          <w:tcPr>
            <w:tcW w:w="4480" w:type="dxa"/>
            <w:vAlign w:val="bottom"/>
            <w:gridSpan w:val="2"/>
          </w:tcPr>
          <w:p>
            <w:pPr>
              <w:spacing w:after="0"/>
              <w:rPr>
                <w:sz w:val="20"/>
                <w:szCs w:val="20"/>
                <w:color w:val="auto"/>
              </w:rPr>
            </w:pPr>
            <w:r>
              <w:rPr>
                <w:rFonts w:ascii="Arial" w:cs="Arial" w:eastAsia="Arial" w:hAnsi="Arial"/>
                <w:sz w:val="17"/>
                <w:szCs w:val="17"/>
                <w:color w:val="auto"/>
              </w:rPr>
              <w:t>313(c)</w:t>
            </w:r>
          </w:p>
        </w:tc>
        <w:tc>
          <w:tcPr>
            <w:tcW w:w="6760" w:type="dxa"/>
            <w:vAlign w:val="bottom"/>
            <w:gridSpan w:val="4"/>
          </w:tcPr>
          <w:p>
            <w:pPr>
              <w:ind w:left="4520"/>
              <w:spacing w:after="0"/>
              <w:rPr>
                <w:sz w:val="20"/>
                <w:szCs w:val="20"/>
                <w:color w:val="auto"/>
              </w:rPr>
            </w:pPr>
            <w:r>
              <w:rPr>
                <w:rFonts w:ascii="Arial" w:cs="Arial" w:eastAsia="Arial" w:hAnsi="Arial"/>
                <w:sz w:val="17"/>
                <w:szCs w:val="17"/>
                <w:color w:val="auto"/>
              </w:rPr>
              <w:t>4.03</w:t>
            </w:r>
          </w:p>
        </w:tc>
      </w:tr>
      <w:tr>
        <w:trPr>
          <w:trHeight w:val="198"/>
        </w:trPr>
        <w:tc>
          <w:tcPr>
            <w:tcW w:w="4480" w:type="dxa"/>
            <w:vAlign w:val="bottom"/>
            <w:gridSpan w:val="2"/>
          </w:tcPr>
          <w:p>
            <w:pPr>
              <w:spacing w:after="0"/>
              <w:rPr>
                <w:sz w:val="20"/>
                <w:szCs w:val="20"/>
                <w:color w:val="auto"/>
              </w:rPr>
            </w:pPr>
            <w:r>
              <w:rPr>
                <w:rFonts w:ascii="Arial" w:cs="Arial" w:eastAsia="Arial" w:hAnsi="Arial"/>
                <w:sz w:val="17"/>
                <w:szCs w:val="17"/>
                <w:color w:val="auto"/>
              </w:rPr>
              <w:t>313(d)</w:t>
            </w:r>
          </w:p>
        </w:tc>
        <w:tc>
          <w:tcPr>
            <w:tcW w:w="6760" w:type="dxa"/>
            <w:vAlign w:val="bottom"/>
            <w:gridSpan w:val="4"/>
          </w:tcPr>
          <w:p>
            <w:pPr>
              <w:ind w:left="4520"/>
              <w:spacing w:after="0"/>
              <w:rPr>
                <w:sz w:val="20"/>
                <w:szCs w:val="20"/>
                <w:color w:val="auto"/>
              </w:rPr>
            </w:pPr>
            <w:r>
              <w:rPr>
                <w:rFonts w:ascii="Arial" w:cs="Arial" w:eastAsia="Arial" w:hAnsi="Arial"/>
                <w:sz w:val="17"/>
                <w:szCs w:val="17"/>
                <w:color w:val="auto"/>
              </w:rPr>
              <w:t>4.03</w:t>
            </w:r>
          </w:p>
        </w:tc>
      </w:tr>
      <w:tr>
        <w:trPr>
          <w:trHeight w:val="198"/>
        </w:trPr>
        <w:tc>
          <w:tcPr>
            <w:tcW w:w="4480" w:type="dxa"/>
            <w:vAlign w:val="bottom"/>
            <w:gridSpan w:val="2"/>
          </w:tcPr>
          <w:p>
            <w:pPr>
              <w:spacing w:after="0"/>
              <w:rPr>
                <w:sz w:val="20"/>
                <w:szCs w:val="20"/>
                <w:color w:val="auto"/>
              </w:rPr>
            </w:pPr>
            <w:r>
              <w:rPr>
                <w:rFonts w:ascii="Arial" w:cs="Arial" w:eastAsia="Arial" w:hAnsi="Arial"/>
                <w:sz w:val="17"/>
                <w:szCs w:val="17"/>
                <w:color w:val="auto"/>
              </w:rPr>
              <w:t>314(a)</w:t>
            </w:r>
          </w:p>
        </w:tc>
        <w:tc>
          <w:tcPr>
            <w:tcW w:w="6760" w:type="dxa"/>
            <w:vAlign w:val="bottom"/>
            <w:gridSpan w:val="4"/>
          </w:tcPr>
          <w:p>
            <w:pPr>
              <w:ind w:left="4520"/>
              <w:spacing w:after="0"/>
              <w:rPr>
                <w:sz w:val="20"/>
                <w:szCs w:val="20"/>
                <w:color w:val="auto"/>
              </w:rPr>
            </w:pPr>
            <w:r>
              <w:rPr>
                <w:rFonts w:ascii="Arial" w:cs="Arial" w:eastAsia="Arial" w:hAnsi="Arial"/>
                <w:sz w:val="17"/>
                <w:szCs w:val="17"/>
                <w:color w:val="auto"/>
              </w:rPr>
              <w:t>4.02</w:t>
            </w:r>
          </w:p>
        </w:tc>
      </w:tr>
      <w:tr>
        <w:trPr>
          <w:trHeight w:val="198"/>
        </w:trPr>
        <w:tc>
          <w:tcPr>
            <w:tcW w:w="4480" w:type="dxa"/>
            <w:vAlign w:val="bottom"/>
            <w:gridSpan w:val="2"/>
          </w:tcPr>
          <w:p>
            <w:pPr>
              <w:spacing w:after="0"/>
              <w:rPr>
                <w:sz w:val="20"/>
                <w:szCs w:val="20"/>
                <w:color w:val="auto"/>
              </w:rPr>
            </w:pPr>
            <w:r>
              <w:rPr>
                <w:rFonts w:ascii="Arial" w:cs="Arial" w:eastAsia="Arial" w:hAnsi="Arial"/>
                <w:sz w:val="17"/>
                <w:szCs w:val="17"/>
                <w:color w:val="auto"/>
              </w:rPr>
              <w:t>314(b)</w:t>
            </w:r>
          </w:p>
        </w:tc>
        <w:tc>
          <w:tcPr>
            <w:tcW w:w="22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20"/>
                <w:szCs w:val="20"/>
                <w:color w:val="auto"/>
              </w:rPr>
            </w:pPr>
            <w:r>
              <w:rPr>
                <w:rFonts w:ascii="Arial" w:cs="Arial" w:eastAsia="Arial" w:hAnsi="Arial"/>
                <w:sz w:val="17"/>
                <w:szCs w:val="17"/>
                <w:color w:val="auto"/>
              </w:rPr>
              <w:t>Inapplicable</w:t>
            </w:r>
          </w:p>
        </w:tc>
      </w:tr>
      <w:tr>
        <w:trPr>
          <w:trHeight w:val="198"/>
        </w:trPr>
        <w:tc>
          <w:tcPr>
            <w:tcW w:w="4480" w:type="dxa"/>
            <w:vAlign w:val="bottom"/>
            <w:gridSpan w:val="2"/>
          </w:tcPr>
          <w:p>
            <w:pPr>
              <w:spacing w:after="0"/>
              <w:rPr>
                <w:sz w:val="20"/>
                <w:szCs w:val="20"/>
                <w:color w:val="auto"/>
              </w:rPr>
            </w:pPr>
            <w:r>
              <w:rPr>
                <w:rFonts w:ascii="Arial" w:cs="Arial" w:eastAsia="Arial" w:hAnsi="Arial"/>
                <w:sz w:val="17"/>
                <w:szCs w:val="17"/>
                <w:color w:val="auto"/>
              </w:rPr>
              <w:t>314(c)</w:t>
            </w:r>
          </w:p>
        </w:tc>
        <w:tc>
          <w:tcPr>
            <w:tcW w:w="6760" w:type="dxa"/>
            <w:vAlign w:val="bottom"/>
            <w:gridSpan w:val="4"/>
          </w:tcPr>
          <w:p>
            <w:pPr>
              <w:ind w:left="4520"/>
              <w:spacing w:after="0"/>
              <w:rPr>
                <w:sz w:val="20"/>
                <w:szCs w:val="20"/>
                <w:color w:val="auto"/>
              </w:rPr>
            </w:pPr>
            <w:r>
              <w:rPr>
                <w:rFonts w:ascii="Arial" w:cs="Arial" w:eastAsia="Arial" w:hAnsi="Arial"/>
                <w:sz w:val="17"/>
                <w:szCs w:val="17"/>
                <w:color w:val="auto"/>
              </w:rPr>
              <w:t>2.04</w:t>
            </w:r>
          </w:p>
        </w:tc>
      </w:tr>
      <w:tr>
        <w:trPr>
          <w:trHeight w:val="198"/>
        </w:trPr>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6760" w:type="dxa"/>
            <w:vAlign w:val="bottom"/>
            <w:gridSpan w:val="4"/>
          </w:tcPr>
          <w:p>
            <w:pPr>
              <w:ind w:left="4520"/>
              <w:spacing w:after="0"/>
              <w:rPr>
                <w:sz w:val="20"/>
                <w:szCs w:val="20"/>
                <w:color w:val="auto"/>
              </w:rPr>
            </w:pPr>
            <w:r>
              <w:rPr>
                <w:rFonts w:ascii="Arial" w:cs="Arial" w:eastAsia="Arial" w:hAnsi="Arial"/>
                <w:sz w:val="17"/>
                <w:szCs w:val="17"/>
                <w:color w:val="auto"/>
              </w:rPr>
              <w:t>8.04</w:t>
            </w:r>
          </w:p>
        </w:tc>
      </w:tr>
      <w:tr>
        <w:trPr>
          <w:trHeight w:val="198"/>
        </w:trPr>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20"/>
                <w:szCs w:val="20"/>
                <w:color w:val="auto"/>
              </w:rPr>
            </w:pPr>
            <w:r>
              <w:rPr>
                <w:rFonts w:ascii="Arial" w:cs="Arial" w:eastAsia="Arial" w:hAnsi="Arial"/>
                <w:sz w:val="17"/>
                <w:szCs w:val="17"/>
                <w:color w:val="auto"/>
              </w:rPr>
              <w:t>9.01(c)</w:t>
            </w:r>
          </w:p>
        </w:tc>
      </w:tr>
      <w:tr>
        <w:trPr>
          <w:trHeight w:val="198"/>
        </w:trPr>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20"/>
                <w:szCs w:val="20"/>
                <w:color w:val="auto"/>
              </w:rPr>
            </w:pPr>
            <w:r>
              <w:rPr>
                <w:rFonts w:ascii="Arial" w:cs="Arial" w:eastAsia="Arial" w:hAnsi="Arial"/>
                <w:sz w:val="17"/>
                <w:szCs w:val="17"/>
                <w:color w:val="auto"/>
              </w:rPr>
              <w:t>10.01(b)</w:t>
            </w:r>
          </w:p>
        </w:tc>
      </w:tr>
      <w:tr>
        <w:trPr>
          <w:trHeight w:val="198"/>
        </w:trPr>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6760" w:type="dxa"/>
            <w:vAlign w:val="bottom"/>
            <w:gridSpan w:val="4"/>
          </w:tcPr>
          <w:p>
            <w:pPr>
              <w:ind w:left="4520"/>
              <w:spacing w:after="0"/>
              <w:rPr>
                <w:sz w:val="20"/>
                <w:szCs w:val="20"/>
                <w:color w:val="auto"/>
              </w:rPr>
            </w:pPr>
            <w:r>
              <w:rPr>
                <w:rFonts w:ascii="Arial" w:cs="Arial" w:eastAsia="Arial" w:hAnsi="Arial"/>
                <w:sz w:val="17"/>
                <w:szCs w:val="17"/>
                <w:color w:val="auto"/>
              </w:rPr>
              <w:t>11.05</w:t>
            </w:r>
          </w:p>
        </w:tc>
      </w:tr>
      <w:tr>
        <w:trPr>
          <w:trHeight w:val="198"/>
        </w:trPr>
        <w:tc>
          <w:tcPr>
            <w:tcW w:w="4480" w:type="dxa"/>
            <w:vAlign w:val="bottom"/>
            <w:gridSpan w:val="2"/>
          </w:tcPr>
          <w:p>
            <w:pPr>
              <w:spacing w:after="0"/>
              <w:rPr>
                <w:sz w:val="20"/>
                <w:szCs w:val="20"/>
                <w:color w:val="auto"/>
              </w:rPr>
            </w:pPr>
            <w:r>
              <w:rPr>
                <w:rFonts w:ascii="Arial" w:cs="Arial" w:eastAsia="Arial" w:hAnsi="Arial"/>
                <w:sz w:val="17"/>
                <w:szCs w:val="17"/>
                <w:color w:val="auto"/>
              </w:rPr>
              <w:t>314(d)</w:t>
            </w:r>
          </w:p>
        </w:tc>
        <w:tc>
          <w:tcPr>
            <w:tcW w:w="22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20"/>
                <w:szCs w:val="20"/>
                <w:color w:val="auto"/>
              </w:rPr>
            </w:pPr>
            <w:r>
              <w:rPr>
                <w:rFonts w:ascii="Arial" w:cs="Arial" w:eastAsia="Arial" w:hAnsi="Arial"/>
                <w:sz w:val="17"/>
                <w:szCs w:val="17"/>
                <w:color w:val="auto"/>
              </w:rPr>
              <w:t>Inapplicable</w:t>
            </w:r>
          </w:p>
        </w:tc>
      </w:tr>
      <w:tr>
        <w:trPr>
          <w:trHeight w:val="198"/>
        </w:trPr>
        <w:tc>
          <w:tcPr>
            <w:tcW w:w="4480" w:type="dxa"/>
            <w:vAlign w:val="bottom"/>
            <w:gridSpan w:val="2"/>
          </w:tcPr>
          <w:p>
            <w:pPr>
              <w:spacing w:after="0"/>
              <w:rPr>
                <w:sz w:val="20"/>
                <w:szCs w:val="20"/>
                <w:color w:val="auto"/>
              </w:rPr>
            </w:pPr>
            <w:r>
              <w:rPr>
                <w:rFonts w:ascii="Arial" w:cs="Arial" w:eastAsia="Arial" w:hAnsi="Arial"/>
                <w:sz w:val="17"/>
                <w:szCs w:val="17"/>
                <w:color w:val="auto"/>
              </w:rPr>
              <w:t>314(e)</w:t>
            </w:r>
          </w:p>
        </w:tc>
        <w:tc>
          <w:tcPr>
            <w:tcW w:w="6760" w:type="dxa"/>
            <w:vAlign w:val="bottom"/>
            <w:gridSpan w:val="4"/>
          </w:tcPr>
          <w:p>
            <w:pPr>
              <w:ind w:left="4520"/>
              <w:spacing w:after="0"/>
              <w:rPr>
                <w:sz w:val="20"/>
                <w:szCs w:val="20"/>
                <w:color w:val="auto"/>
              </w:rPr>
            </w:pPr>
            <w:r>
              <w:rPr>
                <w:rFonts w:ascii="Arial" w:cs="Arial" w:eastAsia="Arial" w:hAnsi="Arial"/>
                <w:sz w:val="17"/>
                <w:szCs w:val="17"/>
                <w:color w:val="auto"/>
              </w:rPr>
              <w:t>11.05</w:t>
            </w:r>
          </w:p>
        </w:tc>
      </w:tr>
      <w:tr>
        <w:trPr>
          <w:trHeight w:val="198"/>
        </w:trPr>
        <w:tc>
          <w:tcPr>
            <w:tcW w:w="4480" w:type="dxa"/>
            <w:vAlign w:val="bottom"/>
            <w:gridSpan w:val="2"/>
          </w:tcPr>
          <w:p>
            <w:pPr>
              <w:spacing w:after="0"/>
              <w:rPr>
                <w:sz w:val="20"/>
                <w:szCs w:val="20"/>
                <w:color w:val="auto"/>
              </w:rPr>
            </w:pPr>
            <w:r>
              <w:rPr>
                <w:rFonts w:ascii="Arial" w:cs="Arial" w:eastAsia="Arial" w:hAnsi="Arial"/>
                <w:sz w:val="17"/>
                <w:szCs w:val="17"/>
                <w:color w:val="auto"/>
              </w:rPr>
              <w:t>314(f)</w:t>
            </w:r>
          </w:p>
        </w:tc>
        <w:tc>
          <w:tcPr>
            <w:tcW w:w="22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20"/>
                <w:szCs w:val="20"/>
                <w:color w:val="auto"/>
              </w:rPr>
            </w:pPr>
            <w:r>
              <w:rPr>
                <w:rFonts w:ascii="Arial" w:cs="Arial" w:eastAsia="Arial" w:hAnsi="Arial"/>
                <w:sz w:val="17"/>
                <w:szCs w:val="17"/>
                <w:color w:val="auto"/>
              </w:rPr>
              <w:t>Inapplicable</w:t>
            </w:r>
          </w:p>
        </w:tc>
      </w:tr>
      <w:tr>
        <w:trPr>
          <w:trHeight w:val="198"/>
        </w:trPr>
        <w:tc>
          <w:tcPr>
            <w:tcW w:w="4480" w:type="dxa"/>
            <w:vAlign w:val="bottom"/>
            <w:gridSpan w:val="2"/>
          </w:tcPr>
          <w:p>
            <w:pPr>
              <w:spacing w:after="0"/>
              <w:rPr>
                <w:sz w:val="20"/>
                <w:szCs w:val="20"/>
                <w:color w:val="auto"/>
              </w:rPr>
            </w:pPr>
            <w:r>
              <w:rPr>
                <w:rFonts w:ascii="Arial" w:cs="Arial" w:eastAsia="Arial" w:hAnsi="Arial"/>
                <w:sz w:val="17"/>
                <w:szCs w:val="17"/>
                <w:color w:val="auto"/>
              </w:rPr>
              <w:t>315(a)</w:t>
            </w:r>
          </w:p>
        </w:tc>
        <w:tc>
          <w:tcPr>
            <w:tcW w:w="6760" w:type="dxa"/>
            <w:vAlign w:val="bottom"/>
            <w:gridSpan w:val="4"/>
          </w:tcPr>
          <w:p>
            <w:pPr>
              <w:ind w:left="4520"/>
              <w:spacing w:after="0"/>
              <w:rPr>
                <w:sz w:val="20"/>
                <w:szCs w:val="20"/>
                <w:color w:val="auto"/>
              </w:rPr>
            </w:pPr>
            <w:r>
              <w:rPr>
                <w:rFonts w:ascii="Arial" w:cs="Arial" w:eastAsia="Arial" w:hAnsi="Arial"/>
                <w:sz w:val="17"/>
                <w:szCs w:val="17"/>
                <w:color w:val="auto"/>
              </w:rPr>
              <w:t>6.01</w:t>
            </w:r>
          </w:p>
        </w:tc>
      </w:tr>
      <w:tr>
        <w:trPr>
          <w:trHeight w:val="198"/>
        </w:trPr>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6760" w:type="dxa"/>
            <w:vAlign w:val="bottom"/>
            <w:gridSpan w:val="4"/>
          </w:tcPr>
          <w:p>
            <w:pPr>
              <w:ind w:left="4520"/>
              <w:spacing w:after="0"/>
              <w:rPr>
                <w:sz w:val="20"/>
                <w:szCs w:val="20"/>
                <w:color w:val="auto"/>
              </w:rPr>
            </w:pPr>
            <w:r>
              <w:rPr>
                <w:rFonts w:ascii="Arial" w:cs="Arial" w:eastAsia="Arial" w:hAnsi="Arial"/>
                <w:sz w:val="17"/>
                <w:szCs w:val="17"/>
                <w:color w:val="auto"/>
              </w:rPr>
              <w:t>6.02</w:t>
            </w:r>
          </w:p>
        </w:tc>
      </w:tr>
      <w:tr>
        <w:trPr>
          <w:trHeight w:val="198"/>
        </w:trPr>
        <w:tc>
          <w:tcPr>
            <w:tcW w:w="4480" w:type="dxa"/>
            <w:vAlign w:val="bottom"/>
            <w:gridSpan w:val="2"/>
          </w:tcPr>
          <w:p>
            <w:pPr>
              <w:spacing w:after="0"/>
              <w:rPr>
                <w:sz w:val="20"/>
                <w:szCs w:val="20"/>
                <w:color w:val="auto"/>
              </w:rPr>
            </w:pPr>
            <w:r>
              <w:rPr>
                <w:rFonts w:ascii="Arial" w:cs="Arial" w:eastAsia="Arial" w:hAnsi="Arial"/>
                <w:sz w:val="17"/>
                <w:szCs w:val="17"/>
                <w:color w:val="auto"/>
              </w:rPr>
              <w:t>315(b)</w:t>
            </w:r>
          </w:p>
        </w:tc>
        <w:tc>
          <w:tcPr>
            <w:tcW w:w="6760" w:type="dxa"/>
            <w:vAlign w:val="bottom"/>
            <w:gridSpan w:val="4"/>
          </w:tcPr>
          <w:p>
            <w:pPr>
              <w:ind w:left="4520"/>
              <w:spacing w:after="0"/>
              <w:rPr>
                <w:sz w:val="20"/>
                <w:szCs w:val="20"/>
                <w:color w:val="auto"/>
              </w:rPr>
            </w:pPr>
            <w:r>
              <w:rPr>
                <w:rFonts w:ascii="Arial" w:cs="Arial" w:eastAsia="Arial" w:hAnsi="Arial"/>
                <w:sz w:val="17"/>
                <w:szCs w:val="17"/>
                <w:color w:val="auto"/>
              </w:rPr>
              <w:t>5.11</w:t>
            </w:r>
          </w:p>
        </w:tc>
      </w:tr>
      <w:tr>
        <w:trPr>
          <w:trHeight w:val="198"/>
        </w:trPr>
        <w:tc>
          <w:tcPr>
            <w:tcW w:w="4480" w:type="dxa"/>
            <w:vAlign w:val="bottom"/>
            <w:gridSpan w:val="2"/>
          </w:tcPr>
          <w:p>
            <w:pPr>
              <w:spacing w:after="0"/>
              <w:rPr>
                <w:sz w:val="20"/>
                <w:szCs w:val="20"/>
                <w:color w:val="auto"/>
              </w:rPr>
            </w:pPr>
            <w:r>
              <w:rPr>
                <w:rFonts w:ascii="Arial" w:cs="Arial" w:eastAsia="Arial" w:hAnsi="Arial"/>
                <w:sz w:val="17"/>
                <w:szCs w:val="17"/>
                <w:color w:val="auto"/>
              </w:rPr>
              <w:t>315(c)</w:t>
            </w:r>
          </w:p>
        </w:tc>
        <w:tc>
          <w:tcPr>
            <w:tcW w:w="6760" w:type="dxa"/>
            <w:vAlign w:val="bottom"/>
            <w:gridSpan w:val="4"/>
          </w:tcPr>
          <w:p>
            <w:pPr>
              <w:ind w:left="4520"/>
              <w:spacing w:after="0"/>
              <w:rPr>
                <w:sz w:val="20"/>
                <w:szCs w:val="20"/>
                <w:color w:val="auto"/>
              </w:rPr>
            </w:pPr>
            <w:r>
              <w:rPr>
                <w:rFonts w:ascii="Arial" w:cs="Arial" w:eastAsia="Arial" w:hAnsi="Arial"/>
                <w:sz w:val="17"/>
                <w:szCs w:val="17"/>
                <w:color w:val="auto"/>
              </w:rPr>
              <w:t>6.01</w:t>
            </w:r>
          </w:p>
        </w:tc>
      </w:tr>
      <w:tr>
        <w:trPr>
          <w:trHeight w:val="198"/>
        </w:trPr>
        <w:tc>
          <w:tcPr>
            <w:tcW w:w="4480" w:type="dxa"/>
            <w:vAlign w:val="bottom"/>
            <w:gridSpan w:val="2"/>
          </w:tcPr>
          <w:p>
            <w:pPr>
              <w:spacing w:after="0"/>
              <w:rPr>
                <w:sz w:val="20"/>
                <w:szCs w:val="20"/>
                <w:color w:val="auto"/>
              </w:rPr>
            </w:pPr>
            <w:r>
              <w:rPr>
                <w:rFonts w:ascii="Arial" w:cs="Arial" w:eastAsia="Arial" w:hAnsi="Arial"/>
                <w:sz w:val="17"/>
                <w:szCs w:val="17"/>
                <w:color w:val="auto"/>
              </w:rPr>
              <w:t>315(d)</w:t>
            </w:r>
          </w:p>
        </w:tc>
        <w:tc>
          <w:tcPr>
            <w:tcW w:w="6760" w:type="dxa"/>
            <w:vAlign w:val="bottom"/>
            <w:gridSpan w:val="4"/>
          </w:tcPr>
          <w:p>
            <w:pPr>
              <w:ind w:left="4520"/>
              <w:spacing w:after="0"/>
              <w:rPr>
                <w:sz w:val="20"/>
                <w:szCs w:val="20"/>
                <w:color w:val="auto"/>
              </w:rPr>
            </w:pPr>
            <w:r>
              <w:rPr>
                <w:rFonts w:ascii="Arial" w:cs="Arial" w:eastAsia="Arial" w:hAnsi="Arial"/>
                <w:sz w:val="17"/>
                <w:szCs w:val="17"/>
                <w:color w:val="auto"/>
              </w:rPr>
              <w:t>6.01</w:t>
            </w:r>
          </w:p>
        </w:tc>
      </w:tr>
      <w:tr>
        <w:trPr>
          <w:trHeight w:val="198"/>
        </w:trPr>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6760" w:type="dxa"/>
            <w:vAlign w:val="bottom"/>
            <w:gridSpan w:val="4"/>
          </w:tcPr>
          <w:p>
            <w:pPr>
              <w:ind w:left="4520"/>
              <w:spacing w:after="0"/>
              <w:rPr>
                <w:sz w:val="20"/>
                <w:szCs w:val="20"/>
                <w:color w:val="auto"/>
              </w:rPr>
            </w:pPr>
            <w:r>
              <w:rPr>
                <w:rFonts w:ascii="Arial" w:cs="Arial" w:eastAsia="Arial" w:hAnsi="Arial"/>
                <w:sz w:val="17"/>
                <w:szCs w:val="17"/>
                <w:color w:val="auto"/>
              </w:rPr>
              <w:t>6.02</w:t>
            </w:r>
          </w:p>
        </w:tc>
      </w:tr>
      <w:tr>
        <w:trPr>
          <w:trHeight w:val="198"/>
        </w:trPr>
        <w:tc>
          <w:tcPr>
            <w:tcW w:w="4480" w:type="dxa"/>
            <w:vAlign w:val="bottom"/>
            <w:gridSpan w:val="2"/>
          </w:tcPr>
          <w:p>
            <w:pPr>
              <w:spacing w:after="0"/>
              <w:rPr>
                <w:sz w:val="20"/>
                <w:szCs w:val="20"/>
                <w:color w:val="auto"/>
              </w:rPr>
            </w:pPr>
            <w:r>
              <w:rPr>
                <w:rFonts w:ascii="Arial" w:cs="Arial" w:eastAsia="Arial" w:hAnsi="Arial"/>
                <w:sz w:val="17"/>
                <w:szCs w:val="17"/>
                <w:color w:val="auto"/>
              </w:rPr>
              <w:t>315(e)</w:t>
            </w:r>
          </w:p>
        </w:tc>
        <w:tc>
          <w:tcPr>
            <w:tcW w:w="6760" w:type="dxa"/>
            <w:vAlign w:val="bottom"/>
            <w:gridSpan w:val="4"/>
          </w:tcPr>
          <w:p>
            <w:pPr>
              <w:ind w:left="4520"/>
              <w:spacing w:after="0"/>
              <w:rPr>
                <w:sz w:val="20"/>
                <w:szCs w:val="20"/>
                <w:color w:val="auto"/>
              </w:rPr>
            </w:pPr>
            <w:r>
              <w:rPr>
                <w:rFonts w:ascii="Arial" w:cs="Arial" w:eastAsia="Arial" w:hAnsi="Arial"/>
                <w:sz w:val="17"/>
                <w:szCs w:val="17"/>
                <w:color w:val="auto"/>
              </w:rPr>
              <w:t>5.12</w:t>
            </w:r>
          </w:p>
        </w:tc>
      </w:tr>
      <w:tr>
        <w:trPr>
          <w:trHeight w:val="198"/>
        </w:trPr>
        <w:tc>
          <w:tcPr>
            <w:tcW w:w="4480" w:type="dxa"/>
            <w:vAlign w:val="bottom"/>
            <w:gridSpan w:val="2"/>
          </w:tcPr>
          <w:p>
            <w:pPr>
              <w:spacing w:after="0"/>
              <w:rPr>
                <w:sz w:val="20"/>
                <w:szCs w:val="20"/>
                <w:color w:val="auto"/>
              </w:rPr>
            </w:pPr>
            <w:r>
              <w:rPr>
                <w:rFonts w:ascii="Arial" w:cs="Arial" w:eastAsia="Arial" w:hAnsi="Arial"/>
                <w:sz w:val="17"/>
                <w:szCs w:val="17"/>
                <w:color w:val="auto"/>
              </w:rPr>
              <w:t>316(a)</w:t>
            </w:r>
          </w:p>
        </w:tc>
        <w:tc>
          <w:tcPr>
            <w:tcW w:w="6760" w:type="dxa"/>
            <w:vAlign w:val="bottom"/>
            <w:gridSpan w:val="4"/>
          </w:tcPr>
          <w:p>
            <w:pPr>
              <w:ind w:left="4520"/>
              <w:spacing w:after="0"/>
              <w:rPr>
                <w:sz w:val="20"/>
                <w:szCs w:val="20"/>
                <w:color w:val="auto"/>
              </w:rPr>
            </w:pPr>
            <w:r>
              <w:rPr>
                <w:rFonts w:ascii="Arial" w:cs="Arial" w:eastAsia="Arial" w:hAnsi="Arial"/>
                <w:sz w:val="17"/>
                <w:szCs w:val="17"/>
                <w:color w:val="auto"/>
              </w:rPr>
              <w:t>5.09</w:t>
            </w:r>
          </w:p>
        </w:tc>
      </w:tr>
      <w:tr>
        <w:trPr>
          <w:trHeight w:val="198"/>
        </w:trPr>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6760" w:type="dxa"/>
            <w:vAlign w:val="bottom"/>
            <w:gridSpan w:val="4"/>
          </w:tcPr>
          <w:p>
            <w:pPr>
              <w:ind w:left="4520"/>
              <w:spacing w:after="0"/>
              <w:rPr>
                <w:sz w:val="20"/>
                <w:szCs w:val="20"/>
                <w:color w:val="auto"/>
              </w:rPr>
            </w:pPr>
            <w:r>
              <w:rPr>
                <w:rFonts w:ascii="Arial" w:cs="Arial" w:eastAsia="Arial" w:hAnsi="Arial"/>
                <w:sz w:val="17"/>
                <w:szCs w:val="17"/>
                <w:color w:val="auto"/>
              </w:rPr>
              <w:t>5.10</w:t>
            </w:r>
          </w:p>
        </w:tc>
      </w:tr>
      <w:tr>
        <w:trPr>
          <w:trHeight w:val="198"/>
        </w:trPr>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6760" w:type="dxa"/>
            <w:vAlign w:val="bottom"/>
            <w:gridSpan w:val="4"/>
          </w:tcPr>
          <w:p>
            <w:pPr>
              <w:ind w:left="4520"/>
              <w:spacing w:after="0"/>
              <w:rPr>
                <w:sz w:val="20"/>
                <w:szCs w:val="20"/>
                <w:color w:val="auto"/>
              </w:rPr>
            </w:pPr>
            <w:r>
              <w:rPr>
                <w:rFonts w:ascii="Arial" w:cs="Arial" w:eastAsia="Arial" w:hAnsi="Arial"/>
                <w:sz w:val="17"/>
                <w:szCs w:val="17"/>
                <w:color w:val="auto"/>
              </w:rPr>
              <w:t>7.04</w:t>
            </w:r>
          </w:p>
        </w:tc>
      </w:tr>
      <w:tr>
        <w:trPr>
          <w:trHeight w:val="198"/>
        </w:trPr>
        <w:tc>
          <w:tcPr>
            <w:tcW w:w="4480" w:type="dxa"/>
            <w:vAlign w:val="bottom"/>
            <w:gridSpan w:val="2"/>
          </w:tcPr>
          <w:p>
            <w:pPr>
              <w:spacing w:after="0"/>
              <w:rPr>
                <w:sz w:val="20"/>
                <w:szCs w:val="20"/>
                <w:color w:val="auto"/>
              </w:rPr>
            </w:pPr>
            <w:r>
              <w:rPr>
                <w:rFonts w:ascii="Arial" w:cs="Arial" w:eastAsia="Arial" w:hAnsi="Arial"/>
                <w:sz w:val="17"/>
                <w:szCs w:val="17"/>
                <w:color w:val="auto"/>
              </w:rPr>
              <w:t>316(b)</w:t>
            </w:r>
          </w:p>
        </w:tc>
        <w:tc>
          <w:tcPr>
            <w:tcW w:w="6760" w:type="dxa"/>
            <w:vAlign w:val="bottom"/>
            <w:gridSpan w:val="4"/>
          </w:tcPr>
          <w:p>
            <w:pPr>
              <w:ind w:left="4520"/>
              <w:spacing w:after="0"/>
              <w:rPr>
                <w:sz w:val="20"/>
                <w:szCs w:val="20"/>
                <w:color w:val="auto"/>
              </w:rPr>
            </w:pPr>
            <w:r>
              <w:rPr>
                <w:rFonts w:ascii="Arial" w:cs="Arial" w:eastAsia="Arial" w:hAnsi="Arial"/>
                <w:sz w:val="17"/>
                <w:szCs w:val="17"/>
                <w:color w:val="auto"/>
              </w:rPr>
              <w:t>5.06</w:t>
            </w:r>
          </w:p>
        </w:tc>
      </w:tr>
      <w:tr>
        <w:trPr>
          <w:trHeight w:val="198"/>
        </w:trPr>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6760" w:type="dxa"/>
            <w:vAlign w:val="bottom"/>
            <w:gridSpan w:val="4"/>
          </w:tcPr>
          <w:p>
            <w:pPr>
              <w:ind w:left="4520"/>
              <w:spacing w:after="0"/>
              <w:rPr>
                <w:sz w:val="20"/>
                <w:szCs w:val="20"/>
                <w:color w:val="auto"/>
              </w:rPr>
            </w:pPr>
            <w:r>
              <w:rPr>
                <w:rFonts w:ascii="Arial" w:cs="Arial" w:eastAsia="Arial" w:hAnsi="Arial"/>
                <w:sz w:val="17"/>
                <w:szCs w:val="17"/>
                <w:color w:val="auto"/>
              </w:rPr>
              <w:t>5.10</w:t>
            </w:r>
          </w:p>
        </w:tc>
      </w:tr>
      <w:tr>
        <w:trPr>
          <w:trHeight w:val="198"/>
        </w:trPr>
        <w:tc>
          <w:tcPr>
            <w:tcW w:w="4480" w:type="dxa"/>
            <w:vAlign w:val="bottom"/>
            <w:gridSpan w:val="2"/>
          </w:tcPr>
          <w:p>
            <w:pPr>
              <w:spacing w:after="0"/>
              <w:rPr>
                <w:sz w:val="20"/>
                <w:szCs w:val="20"/>
                <w:color w:val="auto"/>
              </w:rPr>
            </w:pPr>
            <w:r>
              <w:rPr>
                <w:rFonts w:ascii="Arial" w:cs="Arial" w:eastAsia="Arial" w:hAnsi="Arial"/>
                <w:sz w:val="17"/>
                <w:szCs w:val="17"/>
                <w:color w:val="auto"/>
              </w:rPr>
              <w:t>316(c)</w:t>
            </w:r>
          </w:p>
        </w:tc>
        <w:tc>
          <w:tcPr>
            <w:tcW w:w="6760" w:type="dxa"/>
            <w:vAlign w:val="bottom"/>
            <w:gridSpan w:val="4"/>
          </w:tcPr>
          <w:p>
            <w:pPr>
              <w:ind w:left="4520"/>
              <w:spacing w:after="0"/>
              <w:rPr>
                <w:sz w:val="20"/>
                <w:szCs w:val="20"/>
                <w:color w:val="auto"/>
              </w:rPr>
            </w:pPr>
            <w:r>
              <w:rPr>
                <w:rFonts w:ascii="Arial" w:cs="Arial" w:eastAsia="Arial" w:hAnsi="Arial"/>
                <w:sz w:val="17"/>
                <w:szCs w:val="17"/>
                <w:color w:val="auto"/>
              </w:rPr>
              <w:t>7.02</w:t>
            </w:r>
          </w:p>
        </w:tc>
      </w:tr>
      <w:tr>
        <w:trPr>
          <w:trHeight w:val="198"/>
        </w:trPr>
        <w:tc>
          <w:tcPr>
            <w:tcW w:w="4480" w:type="dxa"/>
            <w:vAlign w:val="bottom"/>
            <w:gridSpan w:val="2"/>
          </w:tcPr>
          <w:p>
            <w:pPr>
              <w:spacing w:after="0"/>
              <w:rPr>
                <w:sz w:val="20"/>
                <w:szCs w:val="20"/>
                <w:color w:val="auto"/>
              </w:rPr>
            </w:pPr>
            <w:r>
              <w:rPr>
                <w:rFonts w:ascii="Arial" w:cs="Arial" w:eastAsia="Arial" w:hAnsi="Arial"/>
                <w:sz w:val="17"/>
                <w:szCs w:val="17"/>
                <w:color w:val="auto"/>
              </w:rPr>
              <w:t>317(a)</w:t>
            </w:r>
          </w:p>
        </w:tc>
        <w:tc>
          <w:tcPr>
            <w:tcW w:w="6760" w:type="dxa"/>
            <w:vAlign w:val="bottom"/>
            <w:gridSpan w:val="4"/>
          </w:tcPr>
          <w:p>
            <w:pPr>
              <w:ind w:left="4520"/>
              <w:spacing w:after="0"/>
              <w:rPr>
                <w:sz w:val="20"/>
                <w:szCs w:val="20"/>
                <w:color w:val="auto"/>
              </w:rPr>
            </w:pPr>
            <w:r>
              <w:rPr>
                <w:rFonts w:ascii="Arial" w:cs="Arial" w:eastAsia="Arial" w:hAnsi="Arial"/>
                <w:sz w:val="17"/>
                <w:szCs w:val="17"/>
                <w:color w:val="auto"/>
              </w:rPr>
              <w:t>5.04</w:t>
            </w:r>
          </w:p>
        </w:tc>
      </w:tr>
      <w:tr>
        <w:trPr>
          <w:trHeight w:val="198"/>
        </w:trPr>
        <w:tc>
          <w:tcPr>
            <w:tcW w:w="4480" w:type="dxa"/>
            <w:vAlign w:val="bottom"/>
            <w:gridSpan w:val="2"/>
          </w:tcPr>
          <w:p>
            <w:pPr>
              <w:spacing w:after="0"/>
              <w:rPr>
                <w:sz w:val="20"/>
                <w:szCs w:val="20"/>
                <w:color w:val="auto"/>
              </w:rPr>
            </w:pPr>
            <w:r>
              <w:rPr>
                <w:rFonts w:ascii="Arial" w:cs="Arial" w:eastAsia="Arial" w:hAnsi="Arial"/>
                <w:sz w:val="17"/>
                <w:szCs w:val="17"/>
                <w:color w:val="auto"/>
              </w:rPr>
              <w:t>317(b)</w:t>
            </w:r>
          </w:p>
        </w:tc>
        <w:tc>
          <w:tcPr>
            <w:tcW w:w="6760" w:type="dxa"/>
            <w:vAlign w:val="bottom"/>
            <w:gridSpan w:val="4"/>
          </w:tcPr>
          <w:p>
            <w:pPr>
              <w:ind w:left="4520"/>
              <w:spacing w:after="0"/>
              <w:rPr>
                <w:sz w:val="20"/>
                <w:szCs w:val="20"/>
                <w:color w:val="auto"/>
              </w:rPr>
            </w:pPr>
            <w:r>
              <w:rPr>
                <w:rFonts w:ascii="Arial" w:cs="Arial" w:eastAsia="Arial" w:hAnsi="Arial"/>
                <w:sz w:val="17"/>
                <w:szCs w:val="17"/>
                <w:color w:val="auto"/>
              </w:rPr>
              <w:t>3.04</w:t>
            </w:r>
          </w:p>
        </w:tc>
      </w:tr>
      <w:tr>
        <w:trPr>
          <w:trHeight w:val="209"/>
        </w:trPr>
        <w:tc>
          <w:tcPr>
            <w:tcW w:w="4480" w:type="dxa"/>
            <w:vAlign w:val="bottom"/>
            <w:gridSpan w:val="2"/>
          </w:tcPr>
          <w:p>
            <w:pPr>
              <w:spacing w:after="0"/>
              <w:rPr>
                <w:sz w:val="20"/>
                <w:szCs w:val="20"/>
                <w:color w:val="auto"/>
              </w:rPr>
            </w:pPr>
            <w:r>
              <w:rPr>
                <w:rFonts w:ascii="Arial" w:cs="Arial" w:eastAsia="Arial" w:hAnsi="Arial"/>
                <w:sz w:val="17"/>
                <w:szCs w:val="17"/>
                <w:color w:val="auto"/>
              </w:rPr>
              <w:t>318(a)</w:t>
            </w:r>
          </w:p>
        </w:tc>
        <w:tc>
          <w:tcPr>
            <w:tcW w:w="6760" w:type="dxa"/>
            <w:vAlign w:val="bottom"/>
            <w:gridSpan w:val="4"/>
          </w:tcPr>
          <w:p>
            <w:pPr>
              <w:ind w:left="4520"/>
              <w:spacing w:after="0"/>
              <w:rPr>
                <w:sz w:val="20"/>
                <w:szCs w:val="20"/>
                <w:color w:val="auto"/>
              </w:rPr>
            </w:pPr>
            <w:r>
              <w:rPr>
                <w:rFonts w:ascii="Arial" w:cs="Arial" w:eastAsia="Arial" w:hAnsi="Arial"/>
                <w:sz w:val="17"/>
                <w:szCs w:val="17"/>
                <w:color w:val="auto"/>
              </w:rPr>
              <w:t>11.07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178752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3">
                      <a:extLst>
                        <a:ext uri="{28A0092B-C50C-407E-A947-70E740481C1C}"/>
                      </a:extLst>
                    </a:blip>
                    <a:srcRect/>
                    <a:stretch>
                      <a:fillRect/>
                    </a:stretch>
                  </pic:blipFill>
                  <pic:spPr bwMode="auto">
                    <a:xfrm>
                      <a:off x="0" y="0"/>
                      <a:ext cx="1787525" cy="762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101" w:hanging="101"/>
        <w:spacing w:after="0"/>
        <w:tabs>
          <w:tab w:leader="none" w:pos="101" w:val="left"/>
        </w:tabs>
        <w:numPr>
          <w:ilvl w:val="0"/>
          <w:numId w:val="45"/>
        </w:numPr>
        <w:rPr>
          <w:rFonts w:ascii="Arial" w:cs="Arial" w:eastAsia="Arial" w:hAnsi="Arial"/>
          <w:sz w:val="26"/>
          <w:szCs w:val="26"/>
          <w:color w:val="auto"/>
          <w:vertAlign w:val="superscript"/>
        </w:rPr>
      </w:pPr>
      <w:r>
        <w:rPr>
          <w:rFonts w:ascii="Arial" w:cs="Arial" w:eastAsia="Arial" w:hAnsi="Arial"/>
          <w:sz w:val="16"/>
          <w:szCs w:val="16"/>
          <w:color w:val="auto"/>
        </w:rPr>
        <w:t>This Cross-Reference Table does not constitute part of the Indenture and shall not have any bearing on the interpretation of any of its terms or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402590</wp:posOffset>
            </wp:positionV>
            <wp:extent cx="714375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4">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1"/>
          </w:cols>
          <w:pgMar w:left="319" w:top="747"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13"/>
        </w:trPr>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380" w:type="dxa"/>
            <w:vAlign w:val="bottom"/>
          </w:tcPr>
          <w:p>
            <w:pPr>
              <w:ind w:left="3280"/>
              <w:spacing w:after="0"/>
              <w:rPr>
                <w:sz w:val="20"/>
                <w:szCs w:val="20"/>
                <w:color w:val="auto"/>
              </w:rPr>
            </w:pPr>
            <w:r>
              <w:rPr>
                <w:rFonts w:ascii="Arial" w:cs="Arial" w:eastAsia="Arial" w:hAnsi="Arial"/>
                <w:sz w:val="17"/>
                <w:szCs w:val="17"/>
                <w:b w:val="1"/>
                <w:bCs w:val="1"/>
                <w:color w:val="auto"/>
              </w:rPr>
              <w:t>TABLE OF CONTENTS</w:t>
            </w:r>
          </w:p>
        </w:tc>
        <w:tc>
          <w:tcPr>
            <w:tcW w:w="400" w:type="dxa"/>
            <w:vAlign w:val="bottom"/>
          </w:tcPr>
          <w:p>
            <w:pPr>
              <w:spacing w:after="0"/>
              <w:rPr>
                <w:sz w:val="18"/>
                <w:szCs w:val="18"/>
                <w:color w:val="auto"/>
              </w:rPr>
            </w:pPr>
          </w:p>
        </w:tc>
      </w:tr>
      <w:tr>
        <w:trPr>
          <w:trHeight w:val="361"/>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38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0"/>
              </w:rPr>
              <w:t>PAGE</w:t>
            </w:r>
          </w:p>
        </w:tc>
      </w:tr>
      <w:tr>
        <w:trPr>
          <w:trHeight w:val="412"/>
        </w:trPr>
        <w:tc>
          <w:tcPr>
            <w:tcW w:w="1020" w:type="dxa"/>
            <w:vAlign w:val="bottom"/>
          </w:tcPr>
          <w:p>
            <w:pPr>
              <w:spacing w:after="0"/>
              <w:rPr>
                <w:sz w:val="20"/>
                <w:szCs w:val="20"/>
                <w:color w:val="auto"/>
              </w:rPr>
            </w:pPr>
            <w:r>
              <w:rPr>
                <w:rFonts w:ascii="Arial" w:cs="Arial" w:eastAsia="Arial" w:hAnsi="Arial"/>
                <w:sz w:val="17"/>
                <w:szCs w:val="17"/>
                <w:color w:val="auto"/>
              </w:rPr>
              <w:t>ARTICLE 1</w:t>
            </w:r>
          </w:p>
        </w:tc>
        <w:tc>
          <w:tcPr>
            <w:tcW w:w="9820" w:type="dxa"/>
            <w:vAlign w:val="bottom"/>
            <w:gridSpan w:val="2"/>
          </w:tcPr>
          <w:p>
            <w:pPr>
              <w:ind w:left="260"/>
              <w:spacing w:after="0"/>
              <w:rPr>
                <w:sz w:val="20"/>
                <w:szCs w:val="20"/>
                <w:color w:val="auto"/>
              </w:rPr>
            </w:pPr>
            <w:r>
              <w:rPr>
                <w:rFonts w:ascii="Arial" w:cs="Arial" w:eastAsia="Arial" w:hAnsi="Arial"/>
                <w:sz w:val="17"/>
                <w:szCs w:val="17"/>
                <w:color w:val="auto"/>
              </w:rPr>
              <w:t>DEFINITIONS</w:t>
            </w:r>
          </w:p>
        </w:tc>
        <w:tc>
          <w:tcPr>
            <w:tcW w:w="4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48"/>
        </w:trPr>
        <w:tc>
          <w:tcPr>
            <w:tcW w:w="10840" w:type="dxa"/>
            <w:vAlign w:val="bottom"/>
            <w:gridSpan w:val="3"/>
          </w:tcPr>
          <w:p>
            <w:pPr>
              <w:ind w:left="520"/>
              <w:spacing w:after="0"/>
              <w:rPr>
                <w:sz w:val="20"/>
                <w:szCs w:val="20"/>
                <w:color w:val="auto"/>
              </w:rPr>
            </w:pPr>
            <w:r>
              <w:rPr>
                <w:rFonts w:ascii="Arial" w:cs="Arial" w:eastAsia="Arial" w:hAnsi="Arial"/>
                <w:sz w:val="17"/>
                <w:szCs w:val="17"/>
                <w:color w:val="auto"/>
              </w:rPr>
              <w:t>Section 1.01   Certain Terms Defined</w:t>
            </w:r>
          </w:p>
        </w:tc>
        <w:tc>
          <w:tcPr>
            <w:tcW w:w="4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422"/>
        </w:trPr>
        <w:tc>
          <w:tcPr>
            <w:tcW w:w="1020" w:type="dxa"/>
            <w:vAlign w:val="bottom"/>
          </w:tcPr>
          <w:p>
            <w:pPr>
              <w:spacing w:after="0"/>
              <w:rPr>
                <w:sz w:val="20"/>
                <w:szCs w:val="20"/>
                <w:color w:val="auto"/>
              </w:rPr>
            </w:pPr>
            <w:r>
              <w:rPr>
                <w:rFonts w:ascii="Arial" w:cs="Arial" w:eastAsia="Arial" w:hAnsi="Arial"/>
                <w:sz w:val="17"/>
                <w:szCs w:val="17"/>
                <w:color w:val="auto"/>
              </w:rPr>
              <w:t>ARTICLE 2</w:t>
            </w:r>
          </w:p>
        </w:tc>
        <w:tc>
          <w:tcPr>
            <w:tcW w:w="9820" w:type="dxa"/>
            <w:vAlign w:val="bottom"/>
            <w:gridSpan w:val="2"/>
          </w:tcPr>
          <w:p>
            <w:pPr>
              <w:ind w:left="260"/>
              <w:spacing w:after="0"/>
              <w:rPr>
                <w:sz w:val="20"/>
                <w:szCs w:val="20"/>
                <w:color w:val="auto"/>
              </w:rPr>
            </w:pPr>
            <w:r>
              <w:rPr>
                <w:rFonts w:ascii="Arial" w:cs="Arial" w:eastAsia="Arial" w:hAnsi="Arial"/>
                <w:sz w:val="17"/>
                <w:szCs w:val="17"/>
                <w:color w:val="auto"/>
              </w:rPr>
              <w:t>SECURITIES</w:t>
            </w:r>
          </w:p>
        </w:tc>
        <w:tc>
          <w:tcPr>
            <w:tcW w:w="40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48"/>
        </w:trPr>
        <w:tc>
          <w:tcPr>
            <w:tcW w:w="1460" w:type="dxa"/>
            <w:vAlign w:val="bottom"/>
            <w:gridSpan w:val="2"/>
          </w:tcPr>
          <w:p>
            <w:pPr>
              <w:ind w:left="520"/>
              <w:spacing w:after="0"/>
              <w:rPr>
                <w:sz w:val="20"/>
                <w:szCs w:val="20"/>
                <w:color w:val="auto"/>
              </w:rPr>
            </w:pPr>
            <w:r>
              <w:rPr>
                <w:rFonts w:ascii="Arial" w:cs="Arial" w:eastAsia="Arial" w:hAnsi="Arial"/>
                <w:sz w:val="17"/>
                <w:szCs w:val="17"/>
                <w:color w:val="auto"/>
                <w:w w:val="97"/>
              </w:rPr>
              <w:t>Section 2.01</w:t>
            </w:r>
          </w:p>
        </w:tc>
        <w:tc>
          <w:tcPr>
            <w:tcW w:w="9380" w:type="dxa"/>
            <w:vAlign w:val="bottom"/>
          </w:tcPr>
          <w:p>
            <w:pPr>
              <w:ind w:left="100"/>
              <w:spacing w:after="0"/>
              <w:rPr>
                <w:sz w:val="20"/>
                <w:szCs w:val="20"/>
                <w:color w:val="auto"/>
              </w:rPr>
            </w:pPr>
            <w:r>
              <w:rPr>
                <w:rFonts w:ascii="Arial" w:cs="Arial" w:eastAsia="Arial" w:hAnsi="Arial"/>
                <w:sz w:val="17"/>
                <w:szCs w:val="17"/>
                <w:color w:val="auto"/>
              </w:rPr>
              <w:t>Forms Generally</w:t>
            </w:r>
          </w:p>
        </w:tc>
        <w:tc>
          <w:tcPr>
            <w:tcW w:w="40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48"/>
        </w:trPr>
        <w:tc>
          <w:tcPr>
            <w:tcW w:w="10840" w:type="dxa"/>
            <w:vAlign w:val="bottom"/>
            <w:gridSpan w:val="3"/>
          </w:tcPr>
          <w:p>
            <w:pPr>
              <w:ind w:left="520"/>
              <w:spacing w:after="0"/>
              <w:rPr>
                <w:sz w:val="20"/>
                <w:szCs w:val="20"/>
                <w:color w:val="auto"/>
              </w:rPr>
            </w:pPr>
            <w:r>
              <w:rPr>
                <w:rFonts w:ascii="Arial" w:cs="Arial" w:eastAsia="Arial" w:hAnsi="Arial"/>
                <w:sz w:val="17"/>
                <w:szCs w:val="17"/>
                <w:color w:val="auto"/>
              </w:rPr>
              <w:t>Section 2.02   Form of Trustee’s Certificate of Authentication</w:t>
            </w:r>
          </w:p>
        </w:tc>
        <w:tc>
          <w:tcPr>
            <w:tcW w:w="40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48"/>
        </w:trPr>
        <w:tc>
          <w:tcPr>
            <w:tcW w:w="10840" w:type="dxa"/>
            <w:vAlign w:val="bottom"/>
            <w:gridSpan w:val="3"/>
          </w:tcPr>
          <w:p>
            <w:pPr>
              <w:ind w:left="520"/>
              <w:spacing w:after="0"/>
              <w:rPr>
                <w:sz w:val="20"/>
                <w:szCs w:val="20"/>
                <w:color w:val="auto"/>
              </w:rPr>
            </w:pPr>
            <w:r>
              <w:rPr>
                <w:rFonts w:ascii="Arial" w:cs="Arial" w:eastAsia="Arial" w:hAnsi="Arial"/>
                <w:sz w:val="17"/>
                <w:szCs w:val="17"/>
                <w:color w:val="auto"/>
              </w:rPr>
              <w:t>Section 2.03   Amount Unlimited; Issuable in Series</w:t>
            </w:r>
          </w:p>
        </w:tc>
        <w:tc>
          <w:tcPr>
            <w:tcW w:w="40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48"/>
        </w:trPr>
        <w:tc>
          <w:tcPr>
            <w:tcW w:w="10840" w:type="dxa"/>
            <w:vAlign w:val="bottom"/>
            <w:gridSpan w:val="3"/>
          </w:tcPr>
          <w:p>
            <w:pPr>
              <w:ind w:left="520"/>
              <w:spacing w:after="0"/>
              <w:rPr>
                <w:sz w:val="20"/>
                <w:szCs w:val="20"/>
                <w:color w:val="auto"/>
              </w:rPr>
            </w:pPr>
            <w:r>
              <w:rPr>
                <w:rFonts w:ascii="Arial" w:cs="Arial" w:eastAsia="Arial" w:hAnsi="Arial"/>
                <w:sz w:val="17"/>
                <w:szCs w:val="17"/>
                <w:color w:val="auto"/>
              </w:rPr>
              <w:t>Section 2.04   Authentication and Delivery of Securities</w:t>
            </w:r>
          </w:p>
        </w:tc>
        <w:tc>
          <w:tcPr>
            <w:tcW w:w="40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48"/>
        </w:trPr>
        <w:tc>
          <w:tcPr>
            <w:tcW w:w="10840" w:type="dxa"/>
            <w:vAlign w:val="bottom"/>
            <w:gridSpan w:val="3"/>
          </w:tcPr>
          <w:p>
            <w:pPr>
              <w:ind w:left="520"/>
              <w:spacing w:after="0"/>
              <w:rPr>
                <w:sz w:val="20"/>
                <w:szCs w:val="20"/>
                <w:color w:val="auto"/>
              </w:rPr>
            </w:pPr>
            <w:r>
              <w:rPr>
                <w:rFonts w:ascii="Arial" w:cs="Arial" w:eastAsia="Arial" w:hAnsi="Arial"/>
                <w:sz w:val="17"/>
                <w:szCs w:val="17"/>
                <w:color w:val="auto"/>
              </w:rPr>
              <w:t>Section 2.05   Execution of Securities</w:t>
            </w:r>
          </w:p>
        </w:tc>
        <w:tc>
          <w:tcPr>
            <w:tcW w:w="40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48"/>
        </w:trPr>
        <w:tc>
          <w:tcPr>
            <w:tcW w:w="10840" w:type="dxa"/>
            <w:vAlign w:val="bottom"/>
            <w:gridSpan w:val="3"/>
          </w:tcPr>
          <w:p>
            <w:pPr>
              <w:ind w:left="520"/>
              <w:spacing w:after="0"/>
              <w:rPr>
                <w:sz w:val="20"/>
                <w:szCs w:val="20"/>
                <w:color w:val="auto"/>
              </w:rPr>
            </w:pPr>
            <w:r>
              <w:rPr>
                <w:rFonts w:ascii="Arial" w:cs="Arial" w:eastAsia="Arial" w:hAnsi="Arial"/>
                <w:sz w:val="17"/>
                <w:szCs w:val="17"/>
                <w:color w:val="auto"/>
              </w:rPr>
              <w:t>Section 2.06   Certificate of Authentication</w:t>
            </w:r>
          </w:p>
        </w:tc>
        <w:tc>
          <w:tcPr>
            <w:tcW w:w="40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48"/>
        </w:trPr>
        <w:tc>
          <w:tcPr>
            <w:tcW w:w="10840" w:type="dxa"/>
            <w:vAlign w:val="bottom"/>
            <w:gridSpan w:val="3"/>
          </w:tcPr>
          <w:p>
            <w:pPr>
              <w:ind w:left="520"/>
              <w:spacing w:after="0"/>
              <w:rPr>
                <w:sz w:val="20"/>
                <w:szCs w:val="20"/>
                <w:color w:val="auto"/>
              </w:rPr>
            </w:pPr>
            <w:r>
              <w:rPr>
                <w:rFonts w:ascii="Arial" w:cs="Arial" w:eastAsia="Arial" w:hAnsi="Arial"/>
                <w:sz w:val="17"/>
                <w:szCs w:val="17"/>
                <w:color w:val="auto"/>
              </w:rPr>
              <w:t>Section 2.07   Denomination and Date of Securities; Payments of Interest</w:t>
            </w:r>
          </w:p>
        </w:tc>
        <w:tc>
          <w:tcPr>
            <w:tcW w:w="40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48"/>
        </w:trPr>
        <w:tc>
          <w:tcPr>
            <w:tcW w:w="10840" w:type="dxa"/>
            <w:vAlign w:val="bottom"/>
            <w:gridSpan w:val="3"/>
          </w:tcPr>
          <w:p>
            <w:pPr>
              <w:ind w:left="520"/>
              <w:spacing w:after="0"/>
              <w:rPr>
                <w:sz w:val="20"/>
                <w:szCs w:val="20"/>
                <w:color w:val="auto"/>
              </w:rPr>
            </w:pPr>
            <w:r>
              <w:rPr>
                <w:rFonts w:ascii="Arial" w:cs="Arial" w:eastAsia="Arial" w:hAnsi="Arial"/>
                <w:sz w:val="17"/>
                <w:szCs w:val="17"/>
                <w:color w:val="auto"/>
              </w:rPr>
              <w:t>Section 2.08   Registration, Transfer and Exchange</w:t>
            </w:r>
          </w:p>
        </w:tc>
        <w:tc>
          <w:tcPr>
            <w:tcW w:w="40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48"/>
        </w:trPr>
        <w:tc>
          <w:tcPr>
            <w:tcW w:w="10840" w:type="dxa"/>
            <w:vAlign w:val="bottom"/>
            <w:gridSpan w:val="3"/>
          </w:tcPr>
          <w:p>
            <w:pPr>
              <w:ind w:left="520"/>
              <w:spacing w:after="0"/>
              <w:rPr>
                <w:sz w:val="20"/>
                <w:szCs w:val="20"/>
                <w:color w:val="auto"/>
              </w:rPr>
            </w:pPr>
            <w:r>
              <w:rPr>
                <w:rFonts w:ascii="Arial" w:cs="Arial" w:eastAsia="Arial" w:hAnsi="Arial"/>
                <w:sz w:val="17"/>
                <w:szCs w:val="17"/>
                <w:color w:val="auto"/>
              </w:rPr>
              <w:t>Section 2.09   Mutilated, Defaced, Destroyed, Lost and Stolen Securities</w:t>
            </w:r>
          </w:p>
        </w:tc>
        <w:tc>
          <w:tcPr>
            <w:tcW w:w="40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48"/>
        </w:trPr>
        <w:tc>
          <w:tcPr>
            <w:tcW w:w="10840" w:type="dxa"/>
            <w:vAlign w:val="bottom"/>
            <w:gridSpan w:val="3"/>
          </w:tcPr>
          <w:p>
            <w:pPr>
              <w:ind w:left="520"/>
              <w:spacing w:after="0"/>
              <w:rPr>
                <w:sz w:val="20"/>
                <w:szCs w:val="20"/>
                <w:color w:val="auto"/>
              </w:rPr>
            </w:pPr>
            <w:r>
              <w:rPr>
                <w:rFonts w:ascii="Arial" w:cs="Arial" w:eastAsia="Arial" w:hAnsi="Arial"/>
                <w:sz w:val="17"/>
                <w:szCs w:val="17"/>
                <w:color w:val="auto"/>
              </w:rPr>
              <w:t>Section 2.10   Cancellation of Securities; Destruction Thereof</w:t>
            </w:r>
          </w:p>
        </w:tc>
        <w:tc>
          <w:tcPr>
            <w:tcW w:w="40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48"/>
        </w:trPr>
        <w:tc>
          <w:tcPr>
            <w:tcW w:w="1460" w:type="dxa"/>
            <w:vAlign w:val="bottom"/>
            <w:gridSpan w:val="2"/>
          </w:tcPr>
          <w:p>
            <w:pPr>
              <w:ind w:left="520"/>
              <w:spacing w:after="0"/>
              <w:rPr>
                <w:sz w:val="20"/>
                <w:szCs w:val="20"/>
                <w:color w:val="auto"/>
              </w:rPr>
            </w:pPr>
            <w:r>
              <w:rPr>
                <w:rFonts w:ascii="Arial" w:cs="Arial" w:eastAsia="Arial" w:hAnsi="Arial"/>
                <w:sz w:val="17"/>
                <w:szCs w:val="17"/>
                <w:color w:val="auto"/>
                <w:w w:val="97"/>
              </w:rPr>
              <w:t>Section 2.11</w:t>
            </w:r>
          </w:p>
        </w:tc>
        <w:tc>
          <w:tcPr>
            <w:tcW w:w="9380" w:type="dxa"/>
            <w:vAlign w:val="bottom"/>
          </w:tcPr>
          <w:p>
            <w:pPr>
              <w:ind w:left="100"/>
              <w:spacing w:after="0"/>
              <w:rPr>
                <w:sz w:val="20"/>
                <w:szCs w:val="20"/>
                <w:color w:val="auto"/>
              </w:rPr>
            </w:pPr>
            <w:r>
              <w:rPr>
                <w:rFonts w:ascii="Arial" w:cs="Arial" w:eastAsia="Arial" w:hAnsi="Arial"/>
                <w:sz w:val="17"/>
                <w:szCs w:val="17"/>
                <w:color w:val="auto"/>
              </w:rPr>
              <w:t>Temporary Securities</w:t>
            </w:r>
          </w:p>
        </w:tc>
        <w:tc>
          <w:tcPr>
            <w:tcW w:w="4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48"/>
        </w:trPr>
        <w:tc>
          <w:tcPr>
            <w:tcW w:w="1460" w:type="dxa"/>
            <w:vAlign w:val="bottom"/>
            <w:gridSpan w:val="2"/>
          </w:tcPr>
          <w:p>
            <w:pPr>
              <w:ind w:left="520"/>
              <w:spacing w:after="0"/>
              <w:rPr>
                <w:sz w:val="20"/>
                <w:szCs w:val="20"/>
                <w:color w:val="auto"/>
              </w:rPr>
            </w:pPr>
            <w:r>
              <w:rPr>
                <w:rFonts w:ascii="Arial" w:cs="Arial" w:eastAsia="Arial" w:hAnsi="Arial"/>
                <w:sz w:val="17"/>
                <w:szCs w:val="17"/>
                <w:color w:val="auto"/>
                <w:w w:val="97"/>
              </w:rPr>
              <w:t>Section 2.12</w:t>
            </w:r>
          </w:p>
        </w:tc>
        <w:tc>
          <w:tcPr>
            <w:tcW w:w="9380" w:type="dxa"/>
            <w:vAlign w:val="bottom"/>
          </w:tcPr>
          <w:p>
            <w:pPr>
              <w:ind w:left="100"/>
              <w:spacing w:after="0"/>
              <w:rPr>
                <w:sz w:val="20"/>
                <w:szCs w:val="20"/>
                <w:color w:val="auto"/>
              </w:rPr>
            </w:pPr>
            <w:r>
              <w:rPr>
                <w:rFonts w:ascii="Arial" w:cs="Arial" w:eastAsia="Arial" w:hAnsi="Arial"/>
                <w:sz w:val="17"/>
                <w:szCs w:val="17"/>
                <w:color w:val="auto"/>
              </w:rPr>
              <w:t>CUSIP Numbers</w:t>
            </w:r>
          </w:p>
        </w:tc>
        <w:tc>
          <w:tcPr>
            <w:tcW w:w="4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422"/>
        </w:trPr>
        <w:tc>
          <w:tcPr>
            <w:tcW w:w="1020" w:type="dxa"/>
            <w:vAlign w:val="bottom"/>
          </w:tcPr>
          <w:p>
            <w:pPr>
              <w:spacing w:after="0"/>
              <w:rPr>
                <w:sz w:val="20"/>
                <w:szCs w:val="20"/>
                <w:color w:val="auto"/>
              </w:rPr>
            </w:pPr>
            <w:r>
              <w:rPr>
                <w:rFonts w:ascii="Arial" w:cs="Arial" w:eastAsia="Arial" w:hAnsi="Arial"/>
                <w:sz w:val="17"/>
                <w:szCs w:val="17"/>
                <w:color w:val="auto"/>
              </w:rPr>
              <w:t>ARTICLE 3</w:t>
            </w:r>
          </w:p>
        </w:tc>
        <w:tc>
          <w:tcPr>
            <w:tcW w:w="9820" w:type="dxa"/>
            <w:vAlign w:val="bottom"/>
            <w:gridSpan w:val="2"/>
          </w:tcPr>
          <w:p>
            <w:pPr>
              <w:ind w:left="200"/>
              <w:spacing w:after="0"/>
              <w:rPr>
                <w:sz w:val="20"/>
                <w:szCs w:val="20"/>
                <w:color w:val="auto"/>
              </w:rPr>
            </w:pPr>
            <w:r>
              <w:rPr>
                <w:rFonts w:ascii="Arial" w:cs="Arial" w:eastAsia="Arial" w:hAnsi="Arial"/>
                <w:sz w:val="17"/>
                <w:szCs w:val="17"/>
                <w:color w:val="auto"/>
              </w:rPr>
              <w:t>COVENANTS OF THE ISSUER</w:t>
            </w:r>
          </w:p>
        </w:tc>
        <w:tc>
          <w:tcPr>
            <w:tcW w:w="4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48"/>
        </w:trPr>
        <w:tc>
          <w:tcPr>
            <w:tcW w:w="10840" w:type="dxa"/>
            <w:vAlign w:val="bottom"/>
            <w:gridSpan w:val="3"/>
          </w:tcPr>
          <w:p>
            <w:pPr>
              <w:ind w:left="520"/>
              <w:spacing w:after="0"/>
              <w:rPr>
                <w:sz w:val="20"/>
                <w:szCs w:val="20"/>
                <w:color w:val="auto"/>
              </w:rPr>
            </w:pPr>
            <w:r>
              <w:rPr>
                <w:rFonts w:ascii="Arial" w:cs="Arial" w:eastAsia="Arial" w:hAnsi="Arial"/>
                <w:sz w:val="17"/>
                <w:szCs w:val="17"/>
                <w:color w:val="auto"/>
              </w:rPr>
              <w:t>Section 3.01   Payment of Principal and Interest</w:t>
            </w:r>
          </w:p>
        </w:tc>
        <w:tc>
          <w:tcPr>
            <w:tcW w:w="4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48"/>
        </w:trPr>
        <w:tc>
          <w:tcPr>
            <w:tcW w:w="10840" w:type="dxa"/>
            <w:vAlign w:val="bottom"/>
            <w:gridSpan w:val="3"/>
          </w:tcPr>
          <w:p>
            <w:pPr>
              <w:ind w:left="520"/>
              <w:spacing w:after="0"/>
              <w:rPr>
                <w:sz w:val="20"/>
                <w:szCs w:val="20"/>
                <w:color w:val="auto"/>
              </w:rPr>
            </w:pPr>
            <w:r>
              <w:rPr>
                <w:rFonts w:ascii="Arial" w:cs="Arial" w:eastAsia="Arial" w:hAnsi="Arial"/>
                <w:sz w:val="17"/>
                <w:szCs w:val="17"/>
                <w:color w:val="auto"/>
              </w:rPr>
              <w:t>Section 3.02   Offices for Payments, Etc</w:t>
            </w:r>
          </w:p>
        </w:tc>
        <w:tc>
          <w:tcPr>
            <w:tcW w:w="4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48"/>
        </w:trPr>
        <w:tc>
          <w:tcPr>
            <w:tcW w:w="10840" w:type="dxa"/>
            <w:vAlign w:val="bottom"/>
            <w:gridSpan w:val="3"/>
          </w:tcPr>
          <w:p>
            <w:pPr>
              <w:ind w:left="520"/>
              <w:spacing w:after="0"/>
              <w:rPr>
                <w:sz w:val="20"/>
                <w:szCs w:val="20"/>
                <w:color w:val="auto"/>
              </w:rPr>
            </w:pPr>
            <w:r>
              <w:rPr>
                <w:rFonts w:ascii="Arial" w:cs="Arial" w:eastAsia="Arial" w:hAnsi="Arial"/>
                <w:sz w:val="17"/>
                <w:szCs w:val="17"/>
                <w:color w:val="auto"/>
              </w:rPr>
              <w:t>Section 3.03   Appointment to Fill a Vacancy in Office of Trustee</w:t>
            </w:r>
          </w:p>
        </w:tc>
        <w:tc>
          <w:tcPr>
            <w:tcW w:w="4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48"/>
        </w:trPr>
        <w:tc>
          <w:tcPr>
            <w:tcW w:w="1460" w:type="dxa"/>
            <w:vAlign w:val="bottom"/>
            <w:gridSpan w:val="2"/>
          </w:tcPr>
          <w:p>
            <w:pPr>
              <w:ind w:left="520"/>
              <w:spacing w:after="0"/>
              <w:rPr>
                <w:sz w:val="20"/>
                <w:szCs w:val="20"/>
                <w:color w:val="auto"/>
              </w:rPr>
            </w:pPr>
            <w:r>
              <w:rPr>
                <w:rFonts w:ascii="Arial" w:cs="Arial" w:eastAsia="Arial" w:hAnsi="Arial"/>
                <w:sz w:val="17"/>
                <w:szCs w:val="17"/>
                <w:color w:val="auto"/>
                <w:w w:val="97"/>
              </w:rPr>
              <w:t>Section 3.04</w:t>
            </w:r>
          </w:p>
        </w:tc>
        <w:tc>
          <w:tcPr>
            <w:tcW w:w="9380" w:type="dxa"/>
            <w:vAlign w:val="bottom"/>
          </w:tcPr>
          <w:p>
            <w:pPr>
              <w:ind w:left="100"/>
              <w:spacing w:after="0"/>
              <w:rPr>
                <w:sz w:val="20"/>
                <w:szCs w:val="20"/>
                <w:color w:val="auto"/>
              </w:rPr>
            </w:pPr>
            <w:r>
              <w:rPr>
                <w:rFonts w:ascii="Arial" w:cs="Arial" w:eastAsia="Arial" w:hAnsi="Arial"/>
                <w:sz w:val="17"/>
                <w:szCs w:val="17"/>
                <w:color w:val="auto"/>
              </w:rPr>
              <w:t>Paying Agents</w:t>
            </w:r>
          </w:p>
        </w:tc>
        <w:tc>
          <w:tcPr>
            <w:tcW w:w="4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48"/>
        </w:trPr>
        <w:tc>
          <w:tcPr>
            <w:tcW w:w="10840" w:type="dxa"/>
            <w:vAlign w:val="bottom"/>
            <w:gridSpan w:val="3"/>
          </w:tcPr>
          <w:p>
            <w:pPr>
              <w:ind w:left="520"/>
              <w:spacing w:after="0"/>
              <w:rPr>
                <w:sz w:val="20"/>
                <w:szCs w:val="20"/>
                <w:color w:val="auto"/>
              </w:rPr>
            </w:pPr>
            <w:r>
              <w:rPr>
                <w:rFonts w:ascii="Arial" w:cs="Arial" w:eastAsia="Arial" w:hAnsi="Arial"/>
                <w:sz w:val="17"/>
                <w:szCs w:val="17"/>
                <w:color w:val="auto"/>
              </w:rPr>
              <w:t>Section 3.05   Written Statement to Trustee</w:t>
            </w:r>
          </w:p>
        </w:tc>
        <w:tc>
          <w:tcPr>
            <w:tcW w:w="4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422"/>
        </w:trPr>
        <w:tc>
          <w:tcPr>
            <w:tcW w:w="1020" w:type="dxa"/>
            <w:vAlign w:val="bottom"/>
          </w:tcPr>
          <w:p>
            <w:pPr>
              <w:spacing w:after="0"/>
              <w:rPr>
                <w:sz w:val="20"/>
                <w:szCs w:val="20"/>
                <w:color w:val="auto"/>
              </w:rPr>
            </w:pPr>
            <w:r>
              <w:rPr>
                <w:rFonts w:ascii="Arial" w:cs="Arial" w:eastAsia="Arial" w:hAnsi="Arial"/>
                <w:sz w:val="17"/>
                <w:szCs w:val="17"/>
                <w:color w:val="auto"/>
              </w:rPr>
              <w:t>ARTICLE 4</w:t>
            </w:r>
          </w:p>
        </w:tc>
        <w:tc>
          <w:tcPr>
            <w:tcW w:w="9820" w:type="dxa"/>
            <w:vAlign w:val="bottom"/>
            <w:gridSpan w:val="2"/>
          </w:tcPr>
          <w:p>
            <w:pPr>
              <w:ind w:left="200"/>
              <w:spacing w:after="0"/>
              <w:rPr>
                <w:sz w:val="20"/>
                <w:szCs w:val="20"/>
                <w:color w:val="auto"/>
              </w:rPr>
            </w:pPr>
            <w:r>
              <w:rPr>
                <w:rFonts w:ascii="Arial" w:cs="Arial" w:eastAsia="Arial" w:hAnsi="Arial"/>
                <w:sz w:val="17"/>
                <w:szCs w:val="17"/>
                <w:color w:val="auto"/>
              </w:rPr>
              <w:t>SECURITYHOLDERS LISTS AND REPORTS BY THE ISSUER AND THE TRUSTEE</w:t>
            </w:r>
          </w:p>
        </w:tc>
        <w:tc>
          <w:tcPr>
            <w:tcW w:w="4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48"/>
        </w:trPr>
        <w:tc>
          <w:tcPr>
            <w:tcW w:w="10840" w:type="dxa"/>
            <w:vAlign w:val="bottom"/>
            <w:gridSpan w:val="3"/>
          </w:tcPr>
          <w:p>
            <w:pPr>
              <w:ind w:left="520"/>
              <w:spacing w:after="0"/>
              <w:rPr>
                <w:sz w:val="20"/>
                <w:szCs w:val="20"/>
                <w:color w:val="auto"/>
              </w:rPr>
            </w:pPr>
            <w:r>
              <w:rPr>
                <w:rFonts w:ascii="Arial" w:cs="Arial" w:eastAsia="Arial" w:hAnsi="Arial"/>
                <w:sz w:val="17"/>
                <w:szCs w:val="17"/>
                <w:color w:val="auto"/>
              </w:rPr>
              <w:t>Section 4.01   Issuer to Furnish Trustee Information as to Names and Addresses of Securityholders</w:t>
            </w:r>
          </w:p>
        </w:tc>
        <w:tc>
          <w:tcPr>
            <w:tcW w:w="4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48"/>
        </w:trPr>
        <w:tc>
          <w:tcPr>
            <w:tcW w:w="10840" w:type="dxa"/>
            <w:vAlign w:val="bottom"/>
            <w:gridSpan w:val="3"/>
          </w:tcPr>
          <w:p>
            <w:pPr>
              <w:ind w:left="520"/>
              <w:spacing w:after="0"/>
              <w:rPr>
                <w:sz w:val="20"/>
                <w:szCs w:val="20"/>
                <w:color w:val="auto"/>
              </w:rPr>
            </w:pPr>
            <w:r>
              <w:rPr>
                <w:rFonts w:ascii="Arial" w:cs="Arial" w:eastAsia="Arial" w:hAnsi="Arial"/>
                <w:sz w:val="17"/>
                <w:szCs w:val="17"/>
                <w:color w:val="auto"/>
              </w:rPr>
              <w:t>Section 4.02   Reports by the Issuer</w:t>
            </w:r>
          </w:p>
        </w:tc>
        <w:tc>
          <w:tcPr>
            <w:tcW w:w="4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48"/>
        </w:trPr>
        <w:tc>
          <w:tcPr>
            <w:tcW w:w="10840" w:type="dxa"/>
            <w:vAlign w:val="bottom"/>
            <w:gridSpan w:val="3"/>
          </w:tcPr>
          <w:p>
            <w:pPr>
              <w:ind w:left="520"/>
              <w:spacing w:after="0"/>
              <w:rPr>
                <w:sz w:val="20"/>
                <w:szCs w:val="20"/>
                <w:color w:val="auto"/>
              </w:rPr>
            </w:pPr>
            <w:r>
              <w:rPr>
                <w:rFonts w:ascii="Arial" w:cs="Arial" w:eastAsia="Arial" w:hAnsi="Arial"/>
                <w:sz w:val="17"/>
                <w:szCs w:val="17"/>
                <w:color w:val="auto"/>
              </w:rPr>
              <w:t>Section 4.03   Reports by the Trustee</w:t>
            </w:r>
          </w:p>
        </w:tc>
        <w:tc>
          <w:tcPr>
            <w:tcW w:w="4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48"/>
        </w:trPr>
        <w:tc>
          <w:tcPr>
            <w:tcW w:w="10840" w:type="dxa"/>
            <w:vAlign w:val="bottom"/>
            <w:gridSpan w:val="3"/>
          </w:tcPr>
          <w:p>
            <w:pPr>
              <w:ind w:left="520"/>
              <w:spacing w:after="0"/>
              <w:rPr>
                <w:sz w:val="20"/>
                <w:szCs w:val="20"/>
                <w:color w:val="auto"/>
              </w:rPr>
            </w:pPr>
            <w:r>
              <w:rPr>
                <w:rFonts w:ascii="Arial" w:cs="Arial" w:eastAsia="Arial" w:hAnsi="Arial"/>
                <w:sz w:val="17"/>
                <w:szCs w:val="17"/>
                <w:color w:val="auto"/>
              </w:rPr>
              <w:t>Section 4.04   Preservation of Information; Communication with Securityholders</w:t>
            </w:r>
          </w:p>
        </w:tc>
        <w:tc>
          <w:tcPr>
            <w:tcW w:w="4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422"/>
        </w:trPr>
        <w:tc>
          <w:tcPr>
            <w:tcW w:w="1020" w:type="dxa"/>
            <w:vAlign w:val="bottom"/>
          </w:tcPr>
          <w:p>
            <w:pPr>
              <w:spacing w:after="0"/>
              <w:rPr>
                <w:sz w:val="20"/>
                <w:szCs w:val="20"/>
                <w:color w:val="auto"/>
              </w:rPr>
            </w:pPr>
            <w:r>
              <w:rPr>
                <w:rFonts w:ascii="Arial" w:cs="Arial" w:eastAsia="Arial" w:hAnsi="Arial"/>
                <w:sz w:val="17"/>
                <w:szCs w:val="17"/>
                <w:color w:val="auto"/>
              </w:rPr>
              <w:t>ARTICLE 5</w:t>
            </w:r>
          </w:p>
        </w:tc>
        <w:tc>
          <w:tcPr>
            <w:tcW w:w="9820" w:type="dxa"/>
            <w:vAlign w:val="bottom"/>
            <w:gridSpan w:val="2"/>
          </w:tcPr>
          <w:p>
            <w:pPr>
              <w:ind w:left="200"/>
              <w:spacing w:after="0"/>
              <w:rPr>
                <w:sz w:val="20"/>
                <w:szCs w:val="20"/>
                <w:color w:val="auto"/>
              </w:rPr>
            </w:pPr>
            <w:r>
              <w:rPr>
                <w:rFonts w:ascii="Arial" w:cs="Arial" w:eastAsia="Arial" w:hAnsi="Arial"/>
                <w:sz w:val="17"/>
                <w:szCs w:val="17"/>
                <w:color w:val="auto"/>
              </w:rPr>
              <w:t>REMEDIES OF THE TRUSTEE AND SECURITYHOLDERS ON EVENT OF DEFAULT</w:t>
            </w:r>
          </w:p>
        </w:tc>
        <w:tc>
          <w:tcPr>
            <w:tcW w:w="4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48"/>
        </w:trPr>
        <w:tc>
          <w:tcPr>
            <w:tcW w:w="10840" w:type="dxa"/>
            <w:vAlign w:val="bottom"/>
            <w:gridSpan w:val="3"/>
          </w:tcPr>
          <w:p>
            <w:pPr>
              <w:ind w:left="520"/>
              <w:spacing w:after="0"/>
              <w:rPr>
                <w:sz w:val="20"/>
                <w:szCs w:val="20"/>
                <w:color w:val="auto"/>
              </w:rPr>
            </w:pPr>
            <w:r>
              <w:rPr>
                <w:rFonts w:ascii="Arial" w:cs="Arial" w:eastAsia="Arial" w:hAnsi="Arial"/>
                <w:sz w:val="17"/>
                <w:szCs w:val="17"/>
                <w:color w:val="auto"/>
              </w:rPr>
              <w:t>Section 5.01   Event of Default Defined; Acceleration of Maturity; Waiver of Default</w:t>
            </w:r>
          </w:p>
        </w:tc>
        <w:tc>
          <w:tcPr>
            <w:tcW w:w="4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48"/>
        </w:trPr>
        <w:tc>
          <w:tcPr>
            <w:tcW w:w="10840" w:type="dxa"/>
            <w:vAlign w:val="bottom"/>
            <w:gridSpan w:val="3"/>
          </w:tcPr>
          <w:p>
            <w:pPr>
              <w:ind w:left="520"/>
              <w:spacing w:after="0"/>
              <w:rPr>
                <w:sz w:val="20"/>
                <w:szCs w:val="20"/>
                <w:color w:val="auto"/>
              </w:rPr>
            </w:pPr>
            <w:r>
              <w:rPr>
                <w:rFonts w:ascii="Arial" w:cs="Arial" w:eastAsia="Arial" w:hAnsi="Arial"/>
                <w:sz w:val="17"/>
                <w:szCs w:val="17"/>
                <w:color w:val="auto"/>
              </w:rPr>
              <w:t>Section 5.02   Collection of Debt by Trustee; Trustee May Prove Debt</w:t>
            </w:r>
          </w:p>
        </w:tc>
        <w:tc>
          <w:tcPr>
            <w:tcW w:w="40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48"/>
        </w:trPr>
        <w:tc>
          <w:tcPr>
            <w:tcW w:w="10840" w:type="dxa"/>
            <w:vAlign w:val="bottom"/>
            <w:gridSpan w:val="3"/>
          </w:tcPr>
          <w:p>
            <w:pPr>
              <w:ind w:left="520"/>
              <w:spacing w:after="0"/>
              <w:rPr>
                <w:sz w:val="20"/>
                <w:szCs w:val="20"/>
                <w:color w:val="auto"/>
              </w:rPr>
            </w:pPr>
            <w:r>
              <w:rPr>
                <w:rFonts w:ascii="Arial" w:cs="Arial" w:eastAsia="Arial" w:hAnsi="Arial"/>
                <w:sz w:val="17"/>
                <w:szCs w:val="17"/>
                <w:color w:val="auto"/>
              </w:rPr>
              <w:t>Section 5.03   Application of Proceeds</w:t>
            </w:r>
          </w:p>
        </w:tc>
        <w:tc>
          <w:tcPr>
            <w:tcW w:w="40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48"/>
        </w:trPr>
        <w:tc>
          <w:tcPr>
            <w:tcW w:w="10840" w:type="dxa"/>
            <w:vAlign w:val="bottom"/>
            <w:gridSpan w:val="3"/>
          </w:tcPr>
          <w:p>
            <w:pPr>
              <w:ind w:left="520"/>
              <w:spacing w:after="0"/>
              <w:rPr>
                <w:sz w:val="20"/>
                <w:szCs w:val="20"/>
                <w:color w:val="auto"/>
              </w:rPr>
            </w:pPr>
            <w:r>
              <w:rPr>
                <w:rFonts w:ascii="Arial" w:cs="Arial" w:eastAsia="Arial" w:hAnsi="Arial"/>
                <w:sz w:val="17"/>
                <w:szCs w:val="17"/>
                <w:color w:val="auto"/>
              </w:rPr>
              <w:t>Section 5.04   Suits for Enforcement</w:t>
            </w:r>
          </w:p>
        </w:tc>
        <w:tc>
          <w:tcPr>
            <w:tcW w:w="40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48"/>
        </w:trPr>
        <w:tc>
          <w:tcPr>
            <w:tcW w:w="10840" w:type="dxa"/>
            <w:vAlign w:val="bottom"/>
            <w:gridSpan w:val="3"/>
          </w:tcPr>
          <w:p>
            <w:pPr>
              <w:ind w:left="520"/>
              <w:spacing w:after="0"/>
              <w:rPr>
                <w:sz w:val="20"/>
                <w:szCs w:val="20"/>
                <w:color w:val="auto"/>
              </w:rPr>
            </w:pPr>
            <w:r>
              <w:rPr>
                <w:rFonts w:ascii="Arial" w:cs="Arial" w:eastAsia="Arial" w:hAnsi="Arial"/>
                <w:sz w:val="17"/>
                <w:szCs w:val="17"/>
                <w:color w:val="auto"/>
              </w:rPr>
              <w:t>Section 5.05   Restoration of Rights on Abandonment of Proceedings</w:t>
            </w:r>
          </w:p>
        </w:tc>
        <w:tc>
          <w:tcPr>
            <w:tcW w:w="40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48"/>
        </w:trPr>
        <w:tc>
          <w:tcPr>
            <w:tcW w:w="10840" w:type="dxa"/>
            <w:vAlign w:val="bottom"/>
            <w:gridSpan w:val="3"/>
          </w:tcPr>
          <w:p>
            <w:pPr>
              <w:ind w:left="520"/>
              <w:spacing w:after="0"/>
              <w:rPr>
                <w:sz w:val="20"/>
                <w:szCs w:val="20"/>
                <w:color w:val="auto"/>
              </w:rPr>
            </w:pPr>
            <w:r>
              <w:rPr>
                <w:rFonts w:ascii="Arial" w:cs="Arial" w:eastAsia="Arial" w:hAnsi="Arial"/>
                <w:sz w:val="17"/>
                <w:szCs w:val="17"/>
                <w:color w:val="auto"/>
              </w:rPr>
              <w:t>Section 5.06   Limitations on Suits by Securityholders</w:t>
            </w:r>
          </w:p>
        </w:tc>
        <w:tc>
          <w:tcPr>
            <w:tcW w:w="40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48"/>
        </w:trPr>
        <w:tc>
          <w:tcPr>
            <w:tcW w:w="10840" w:type="dxa"/>
            <w:vAlign w:val="bottom"/>
            <w:gridSpan w:val="3"/>
          </w:tcPr>
          <w:p>
            <w:pPr>
              <w:ind w:left="520"/>
              <w:spacing w:after="0"/>
              <w:rPr>
                <w:sz w:val="20"/>
                <w:szCs w:val="20"/>
                <w:color w:val="auto"/>
              </w:rPr>
            </w:pPr>
            <w:r>
              <w:rPr>
                <w:rFonts w:ascii="Arial" w:cs="Arial" w:eastAsia="Arial" w:hAnsi="Arial"/>
                <w:sz w:val="17"/>
                <w:szCs w:val="17"/>
                <w:color w:val="auto"/>
              </w:rPr>
              <w:t>Section 5.07   Unconditional Right of Securityholders to Institute Certain Suits</w:t>
            </w:r>
          </w:p>
        </w:tc>
        <w:tc>
          <w:tcPr>
            <w:tcW w:w="400" w:type="dxa"/>
            <w:vAlign w:val="bottom"/>
          </w:tcPr>
          <w:p>
            <w:pPr>
              <w:jc w:val="right"/>
              <w:spacing w:after="0"/>
              <w:rPr>
                <w:sz w:val="20"/>
                <w:szCs w:val="20"/>
                <w:color w:val="auto"/>
              </w:rPr>
            </w:pPr>
            <w:r>
              <w:rPr>
                <w:rFonts w:ascii="Arial" w:cs="Arial" w:eastAsia="Arial" w:hAnsi="Arial"/>
                <w:sz w:val="17"/>
                <w:szCs w:val="17"/>
                <w:color w:val="auto"/>
              </w:rPr>
              <w:t>25</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5">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9"/>
        </w:trPr>
        <w:tc>
          <w:tcPr>
            <w:tcW w:w="1460" w:type="dxa"/>
            <w:vAlign w:val="bottom"/>
            <w:gridSpan w:val="2"/>
          </w:tcPr>
          <w:p>
            <w:pPr>
              <w:jc w:val="right"/>
              <w:ind w:right="37"/>
              <w:spacing w:after="0"/>
              <w:rPr>
                <w:sz w:val="20"/>
                <w:szCs w:val="20"/>
                <w:color w:val="auto"/>
              </w:rPr>
            </w:pPr>
            <w:r>
              <w:rPr>
                <w:rFonts w:ascii="Arial" w:cs="Arial" w:eastAsia="Arial" w:hAnsi="Arial"/>
                <w:sz w:val="17"/>
                <w:szCs w:val="17"/>
                <w:color w:val="auto"/>
              </w:rPr>
              <w:t>Section 5.08</w:t>
            </w:r>
          </w:p>
        </w:tc>
        <w:tc>
          <w:tcPr>
            <w:tcW w:w="8140" w:type="dxa"/>
            <w:vAlign w:val="bottom"/>
          </w:tcPr>
          <w:p>
            <w:pPr>
              <w:ind w:left="100"/>
              <w:spacing w:after="0"/>
              <w:rPr>
                <w:sz w:val="20"/>
                <w:szCs w:val="20"/>
                <w:color w:val="auto"/>
              </w:rPr>
            </w:pPr>
            <w:r>
              <w:rPr>
                <w:rFonts w:ascii="Arial" w:cs="Arial" w:eastAsia="Arial" w:hAnsi="Arial"/>
                <w:sz w:val="17"/>
                <w:szCs w:val="17"/>
                <w:color w:val="auto"/>
              </w:rPr>
              <w:t>Powers and Remedies Cumulative; Delay or Omission Not Waiver of Default</w:t>
            </w:r>
          </w:p>
        </w:tc>
        <w:tc>
          <w:tcPr>
            <w:tcW w:w="164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48"/>
        </w:trPr>
        <w:tc>
          <w:tcPr>
            <w:tcW w:w="1460" w:type="dxa"/>
            <w:vAlign w:val="bottom"/>
            <w:gridSpan w:val="2"/>
          </w:tcPr>
          <w:p>
            <w:pPr>
              <w:jc w:val="right"/>
              <w:ind w:right="37"/>
              <w:spacing w:after="0"/>
              <w:rPr>
                <w:sz w:val="20"/>
                <w:szCs w:val="20"/>
                <w:color w:val="auto"/>
              </w:rPr>
            </w:pPr>
            <w:r>
              <w:rPr>
                <w:rFonts w:ascii="Arial" w:cs="Arial" w:eastAsia="Arial" w:hAnsi="Arial"/>
                <w:sz w:val="17"/>
                <w:szCs w:val="17"/>
                <w:color w:val="auto"/>
              </w:rPr>
              <w:t>Section 5.09</w:t>
            </w:r>
          </w:p>
        </w:tc>
        <w:tc>
          <w:tcPr>
            <w:tcW w:w="8140" w:type="dxa"/>
            <w:vAlign w:val="bottom"/>
          </w:tcPr>
          <w:p>
            <w:pPr>
              <w:ind w:left="100"/>
              <w:spacing w:after="0"/>
              <w:rPr>
                <w:sz w:val="20"/>
                <w:szCs w:val="20"/>
                <w:color w:val="auto"/>
              </w:rPr>
            </w:pPr>
            <w:r>
              <w:rPr>
                <w:rFonts w:ascii="Arial" w:cs="Arial" w:eastAsia="Arial" w:hAnsi="Arial"/>
                <w:sz w:val="17"/>
                <w:szCs w:val="17"/>
                <w:color w:val="auto"/>
              </w:rPr>
              <w:t>Control by Holders of Securities</w:t>
            </w:r>
          </w:p>
        </w:tc>
        <w:tc>
          <w:tcPr>
            <w:tcW w:w="164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48"/>
        </w:trPr>
        <w:tc>
          <w:tcPr>
            <w:tcW w:w="1460" w:type="dxa"/>
            <w:vAlign w:val="bottom"/>
            <w:gridSpan w:val="2"/>
          </w:tcPr>
          <w:p>
            <w:pPr>
              <w:jc w:val="right"/>
              <w:ind w:right="37"/>
              <w:spacing w:after="0"/>
              <w:rPr>
                <w:sz w:val="20"/>
                <w:szCs w:val="20"/>
                <w:color w:val="auto"/>
              </w:rPr>
            </w:pPr>
            <w:r>
              <w:rPr>
                <w:rFonts w:ascii="Arial" w:cs="Arial" w:eastAsia="Arial" w:hAnsi="Arial"/>
                <w:sz w:val="17"/>
                <w:szCs w:val="17"/>
                <w:color w:val="auto"/>
              </w:rPr>
              <w:t>Section 5.10</w:t>
            </w:r>
          </w:p>
        </w:tc>
        <w:tc>
          <w:tcPr>
            <w:tcW w:w="8140" w:type="dxa"/>
            <w:vAlign w:val="bottom"/>
          </w:tcPr>
          <w:p>
            <w:pPr>
              <w:ind w:left="100"/>
              <w:spacing w:after="0"/>
              <w:rPr>
                <w:sz w:val="20"/>
                <w:szCs w:val="20"/>
                <w:color w:val="auto"/>
              </w:rPr>
            </w:pPr>
            <w:r>
              <w:rPr>
                <w:rFonts w:ascii="Arial" w:cs="Arial" w:eastAsia="Arial" w:hAnsi="Arial"/>
                <w:sz w:val="17"/>
                <w:szCs w:val="17"/>
                <w:color w:val="auto"/>
              </w:rPr>
              <w:t>Waiver of Past Defaults</w:t>
            </w:r>
          </w:p>
        </w:tc>
        <w:tc>
          <w:tcPr>
            <w:tcW w:w="164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48"/>
        </w:trPr>
        <w:tc>
          <w:tcPr>
            <w:tcW w:w="1460" w:type="dxa"/>
            <w:vAlign w:val="bottom"/>
            <w:gridSpan w:val="2"/>
          </w:tcPr>
          <w:p>
            <w:pPr>
              <w:jc w:val="right"/>
              <w:ind w:right="37"/>
              <w:spacing w:after="0"/>
              <w:rPr>
                <w:sz w:val="20"/>
                <w:szCs w:val="20"/>
                <w:color w:val="auto"/>
              </w:rPr>
            </w:pPr>
            <w:r>
              <w:rPr>
                <w:rFonts w:ascii="Arial" w:cs="Arial" w:eastAsia="Arial" w:hAnsi="Arial"/>
                <w:sz w:val="17"/>
                <w:szCs w:val="17"/>
                <w:color w:val="auto"/>
              </w:rPr>
              <w:t>Section 5.11</w:t>
            </w:r>
          </w:p>
        </w:tc>
        <w:tc>
          <w:tcPr>
            <w:tcW w:w="8140" w:type="dxa"/>
            <w:vAlign w:val="bottom"/>
          </w:tcPr>
          <w:p>
            <w:pPr>
              <w:ind w:left="100"/>
              <w:spacing w:after="0"/>
              <w:rPr>
                <w:sz w:val="20"/>
                <w:szCs w:val="20"/>
                <w:color w:val="auto"/>
              </w:rPr>
            </w:pPr>
            <w:r>
              <w:rPr>
                <w:rFonts w:ascii="Arial" w:cs="Arial" w:eastAsia="Arial" w:hAnsi="Arial"/>
                <w:sz w:val="17"/>
                <w:szCs w:val="17"/>
                <w:color w:val="auto"/>
              </w:rPr>
              <w:t>Trustee to Give Notice of Default</w:t>
            </w:r>
          </w:p>
        </w:tc>
        <w:tc>
          <w:tcPr>
            <w:tcW w:w="164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48"/>
        </w:trPr>
        <w:tc>
          <w:tcPr>
            <w:tcW w:w="1460" w:type="dxa"/>
            <w:vAlign w:val="bottom"/>
            <w:gridSpan w:val="2"/>
          </w:tcPr>
          <w:p>
            <w:pPr>
              <w:jc w:val="right"/>
              <w:ind w:right="37"/>
              <w:spacing w:after="0"/>
              <w:rPr>
                <w:sz w:val="20"/>
                <w:szCs w:val="20"/>
                <w:color w:val="auto"/>
              </w:rPr>
            </w:pPr>
            <w:r>
              <w:rPr>
                <w:rFonts w:ascii="Arial" w:cs="Arial" w:eastAsia="Arial" w:hAnsi="Arial"/>
                <w:sz w:val="17"/>
                <w:szCs w:val="17"/>
                <w:color w:val="auto"/>
              </w:rPr>
              <w:t>Section 5.12</w:t>
            </w:r>
          </w:p>
        </w:tc>
        <w:tc>
          <w:tcPr>
            <w:tcW w:w="8140" w:type="dxa"/>
            <w:vAlign w:val="bottom"/>
          </w:tcPr>
          <w:p>
            <w:pPr>
              <w:ind w:left="100"/>
              <w:spacing w:after="0"/>
              <w:rPr>
                <w:sz w:val="20"/>
                <w:szCs w:val="20"/>
                <w:color w:val="auto"/>
              </w:rPr>
            </w:pPr>
            <w:r>
              <w:rPr>
                <w:rFonts w:ascii="Arial" w:cs="Arial" w:eastAsia="Arial" w:hAnsi="Arial"/>
                <w:sz w:val="17"/>
                <w:szCs w:val="17"/>
                <w:color w:val="auto"/>
              </w:rPr>
              <w:t>Right of Court to Require Filing of Undertaking to Pay Costs</w:t>
            </w:r>
          </w:p>
        </w:tc>
        <w:tc>
          <w:tcPr>
            <w:tcW w:w="164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422"/>
        </w:trPr>
        <w:tc>
          <w:tcPr>
            <w:tcW w:w="1060" w:type="dxa"/>
            <w:vAlign w:val="bottom"/>
          </w:tcPr>
          <w:p>
            <w:pPr>
              <w:spacing w:after="0"/>
              <w:rPr>
                <w:sz w:val="20"/>
                <w:szCs w:val="20"/>
                <w:color w:val="auto"/>
              </w:rPr>
            </w:pPr>
            <w:r>
              <w:rPr>
                <w:rFonts w:ascii="Arial" w:cs="Arial" w:eastAsia="Arial" w:hAnsi="Arial"/>
                <w:sz w:val="17"/>
                <w:szCs w:val="17"/>
                <w:color w:val="auto"/>
              </w:rPr>
              <w:t>ARTICLE 6</w:t>
            </w:r>
          </w:p>
        </w:tc>
        <w:tc>
          <w:tcPr>
            <w:tcW w:w="8540" w:type="dxa"/>
            <w:vAlign w:val="bottom"/>
            <w:gridSpan w:val="2"/>
          </w:tcPr>
          <w:p>
            <w:pPr>
              <w:ind w:left="160"/>
              <w:spacing w:after="0"/>
              <w:rPr>
                <w:sz w:val="20"/>
                <w:szCs w:val="20"/>
                <w:color w:val="auto"/>
              </w:rPr>
            </w:pPr>
            <w:r>
              <w:rPr>
                <w:rFonts w:ascii="Arial" w:cs="Arial" w:eastAsia="Arial" w:hAnsi="Arial"/>
                <w:sz w:val="17"/>
                <w:szCs w:val="17"/>
                <w:color w:val="auto"/>
              </w:rPr>
              <w:t>CONCERNING THE TRUSTEE</w:t>
            </w:r>
          </w:p>
        </w:tc>
        <w:tc>
          <w:tcPr>
            <w:tcW w:w="164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48"/>
        </w:trPr>
        <w:tc>
          <w:tcPr>
            <w:tcW w:w="1460" w:type="dxa"/>
            <w:vAlign w:val="bottom"/>
            <w:gridSpan w:val="2"/>
          </w:tcPr>
          <w:p>
            <w:pPr>
              <w:jc w:val="right"/>
              <w:ind w:right="37"/>
              <w:spacing w:after="0"/>
              <w:rPr>
                <w:sz w:val="20"/>
                <w:szCs w:val="20"/>
                <w:color w:val="auto"/>
              </w:rPr>
            </w:pPr>
            <w:r>
              <w:rPr>
                <w:rFonts w:ascii="Arial" w:cs="Arial" w:eastAsia="Arial" w:hAnsi="Arial"/>
                <w:sz w:val="17"/>
                <w:szCs w:val="17"/>
                <w:color w:val="auto"/>
              </w:rPr>
              <w:t>Section 6.01</w:t>
            </w:r>
          </w:p>
        </w:tc>
        <w:tc>
          <w:tcPr>
            <w:tcW w:w="8140" w:type="dxa"/>
            <w:vAlign w:val="bottom"/>
          </w:tcPr>
          <w:p>
            <w:pPr>
              <w:ind w:left="100"/>
              <w:spacing w:after="0"/>
              <w:rPr>
                <w:sz w:val="20"/>
                <w:szCs w:val="20"/>
                <w:color w:val="auto"/>
              </w:rPr>
            </w:pPr>
            <w:r>
              <w:rPr>
                <w:rFonts w:ascii="Arial" w:cs="Arial" w:eastAsia="Arial" w:hAnsi="Arial"/>
                <w:sz w:val="17"/>
                <w:szCs w:val="17"/>
                <w:color w:val="auto"/>
              </w:rPr>
              <w:t>Duties and Responsibilities of the Trustee; During Default; Prior to Default</w:t>
            </w:r>
          </w:p>
        </w:tc>
        <w:tc>
          <w:tcPr>
            <w:tcW w:w="164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48"/>
        </w:trPr>
        <w:tc>
          <w:tcPr>
            <w:tcW w:w="1460" w:type="dxa"/>
            <w:vAlign w:val="bottom"/>
            <w:gridSpan w:val="2"/>
          </w:tcPr>
          <w:p>
            <w:pPr>
              <w:jc w:val="right"/>
              <w:ind w:right="37"/>
              <w:spacing w:after="0"/>
              <w:rPr>
                <w:sz w:val="20"/>
                <w:szCs w:val="20"/>
                <w:color w:val="auto"/>
              </w:rPr>
            </w:pPr>
            <w:r>
              <w:rPr>
                <w:rFonts w:ascii="Arial" w:cs="Arial" w:eastAsia="Arial" w:hAnsi="Arial"/>
                <w:sz w:val="17"/>
                <w:szCs w:val="17"/>
                <w:color w:val="auto"/>
              </w:rPr>
              <w:t>Section 6.02</w:t>
            </w:r>
          </w:p>
        </w:tc>
        <w:tc>
          <w:tcPr>
            <w:tcW w:w="8140" w:type="dxa"/>
            <w:vAlign w:val="bottom"/>
          </w:tcPr>
          <w:p>
            <w:pPr>
              <w:ind w:left="100"/>
              <w:spacing w:after="0"/>
              <w:rPr>
                <w:sz w:val="20"/>
                <w:szCs w:val="20"/>
                <w:color w:val="auto"/>
              </w:rPr>
            </w:pPr>
            <w:r>
              <w:rPr>
                <w:rFonts w:ascii="Arial" w:cs="Arial" w:eastAsia="Arial" w:hAnsi="Arial"/>
                <w:sz w:val="17"/>
                <w:szCs w:val="17"/>
                <w:color w:val="auto"/>
              </w:rPr>
              <w:t>Certain Rights of the Trustee</w:t>
            </w:r>
          </w:p>
        </w:tc>
        <w:tc>
          <w:tcPr>
            <w:tcW w:w="164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48"/>
        </w:trPr>
        <w:tc>
          <w:tcPr>
            <w:tcW w:w="1460" w:type="dxa"/>
            <w:vAlign w:val="bottom"/>
            <w:gridSpan w:val="2"/>
          </w:tcPr>
          <w:p>
            <w:pPr>
              <w:jc w:val="right"/>
              <w:ind w:right="37"/>
              <w:spacing w:after="0"/>
              <w:rPr>
                <w:sz w:val="20"/>
                <w:szCs w:val="20"/>
                <w:color w:val="auto"/>
              </w:rPr>
            </w:pPr>
            <w:r>
              <w:rPr>
                <w:rFonts w:ascii="Arial" w:cs="Arial" w:eastAsia="Arial" w:hAnsi="Arial"/>
                <w:sz w:val="17"/>
                <w:szCs w:val="17"/>
                <w:color w:val="auto"/>
              </w:rPr>
              <w:t>Section 6.03</w:t>
            </w:r>
          </w:p>
        </w:tc>
        <w:tc>
          <w:tcPr>
            <w:tcW w:w="8140" w:type="dxa"/>
            <w:vAlign w:val="bottom"/>
          </w:tcPr>
          <w:p>
            <w:pPr>
              <w:ind w:left="100"/>
              <w:spacing w:after="0"/>
              <w:rPr>
                <w:sz w:val="20"/>
                <w:szCs w:val="20"/>
                <w:color w:val="auto"/>
              </w:rPr>
            </w:pPr>
            <w:r>
              <w:rPr>
                <w:rFonts w:ascii="Arial" w:cs="Arial" w:eastAsia="Arial" w:hAnsi="Arial"/>
                <w:sz w:val="17"/>
                <w:szCs w:val="17"/>
                <w:color w:val="auto"/>
              </w:rPr>
              <w:t>Trustee Not Responsible for Recitals, Disposition of Securities or Application of Proceeds Thereof</w:t>
            </w:r>
          </w:p>
        </w:tc>
        <w:tc>
          <w:tcPr>
            <w:tcW w:w="164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48"/>
        </w:trPr>
        <w:tc>
          <w:tcPr>
            <w:tcW w:w="1460" w:type="dxa"/>
            <w:vAlign w:val="bottom"/>
            <w:gridSpan w:val="2"/>
          </w:tcPr>
          <w:p>
            <w:pPr>
              <w:jc w:val="right"/>
              <w:ind w:right="37"/>
              <w:spacing w:after="0"/>
              <w:rPr>
                <w:sz w:val="20"/>
                <w:szCs w:val="20"/>
                <w:color w:val="auto"/>
              </w:rPr>
            </w:pPr>
            <w:r>
              <w:rPr>
                <w:rFonts w:ascii="Arial" w:cs="Arial" w:eastAsia="Arial" w:hAnsi="Arial"/>
                <w:sz w:val="17"/>
                <w:szCs w:val="17"/>
                <w:color w:val="auto"/>
              </w:rPr>
              <w:t>Section 6.04</w:t>
            </w:r>
          </w:p>
        </w:tc>
        <w:tc>
          <w:tcPr>
            <w:tcW w:w="8140" w:type="dxa"/>
            <w:vAlign w:val="bottom"/>
          </w:tcPr>
          <w:p>
            <w:pPr>
              <w:ind w:left="100"/>
              <w:spacing w:after="0"/>
              <w:rPr>
                <w:sz w:val="20"/>
                <w:szCs w:val="20"/>
                <w:color w:val="auto"/>
              </w:rPr>
            </w:pPr>
            <w:r>
              <w:rPr>
                <w:rFonts w:ascii="Arial" w:cs="Arial" w:eastAsia="Arial" w:hAnsi="Arial"/>
                <w:sz w:val="17"/>
                <w:szCs w:val="17"/>
                <w:color w:val="auto"/>
              </w:rPr>
              <w:t>Trustee and Agents May Hold Securities; Collections, Etc</w:t>
            </w:r>
          </w:p>
        </w:tc>
        <w:tc>
          <w:tcPr>
            <w:tcW w:w="164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48"/>
        </w:trPr>
        <w:tc>
          <w:tcPr>
            <w:tcW w:w="1460" w:type="dxa"/>
            <w:vAlign w:val="bottom"/>
            <w:gridSpan w:val="2"/>
          </w:tcPr>
          <w:p>
            <w:pPr>
              <w:jc w:val="right"/>
              <w:ind w:right="37"/>
              <w:spacing w:after="0"/>
              <w:rPr>
                <w:sz w:val="20"/>
                <w:szCs w:val="20"/>
                <w:color w:val="auto"/>
              </w:rPr>
            </w:pPr>
            <w:r>
              <w:rPr>
                <w:rFonts w:ascii="Arial" w:cs="Arial" w:eastAsia="Arial" w:hAnsi="Arial"/>
                <w:sz w:val="17"/>
                <w:szCs w:val="17"/>
                <w:color w:val="auto"/>
              </w:rPr>
              <w:t>Section 6.05</w:t>
            </w:r>
          </w:p>
        </w:tc>
        <w:tc>
          <w:tcPr>
            <w:tcW w:w="8140" w:type="dxa"/>
            <w:vAlign w:val="bottom"/>
          </w:tcPr>
          <w:p>
            <w:pPr>
              <w:ind w:left="100"/>
              <w:spacing w:after="0"/>
              <w:rPr>
                <w:sz w:val="20"/>
                <w:szCs w:val="20"/>
                <w:color w:val="auto"/>
              </w:rPr>
            </w:pPr>
            <w:r>
              <w:rPr>
                <w:rFonts w:ascii="Arial" w:cs="Arial" w:eastAsia="Arial" w:hAnsi="Arial"/>
                <w:sz w:val="17"/>
                <w:szCs w:val="17"/>
                <w:color w:val="auto"/>
              </w:rPr>
              <w:t>Moneys Held by Trustee</w:t>
            </w:r>
          </w:p>
        </w:tc>
        <w:tc>
          <w:tcPr>
            <w:tcW w:w="164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48"/>
        </w:trPr>
        <w:tc>
          <w:tcPr>
            <w:tcW w:w="1460" w:type="dxa"/>
            <w:vAlign w:val="bottom"/>
            <w:gridSpan w:val="2"/>
          </w:tcPr>
          <w:p>
            <w:pPr>
              <w:jc w:val="right"/>
              <w:ind w:right="37"/>
              <w:spacing w:after="0"/>
              <w:rPr>
                <w:sz w:val="20"/>
                <w:szCs w:val="20"/>
                <w:color w:val="auto"/>
              </w:rPr>
            </w:pPr>
            <w:r>
              <w:rPr>
                <w:rFonts w:ascii="Arial" w:cs="Arial" w:eastAsia="Arial" w:hAnsi="Arial"/>
                <w:sz w:val="17"/>
                <w:szCs w:val="17"/>
                <w:color w:val="auto"/>
              </w:rPr>
              <w:t>Section 6.06</w:t>
            </w:r>
          </w:p>
        </w:tc>
        <w:tc>
          <w:tcPr>
            <w:tcW w:w="8140" w:type="dxa"/>
            <w:vAlign w:val="bottom"/>
          </w:tcPr>
          <w:p>
            <w:pPr>
              <w:ind w:left="100"/>
              <w:spacing w:after="0"/>
              <w:rPr>
                <w:sz w:val="20"/>
                <w:szCs w:val="20"/>
                <w:color w:val="auto"/>
              </w:rPr>
            </w:pPr>
            <w:r>
              <w:rPr>
                <w:rFonts w:ascii="Arial" w:cs="Arial" w:eastAsia="Arial" w:hAnsi="Arial"/>
                <w:sz w:val="17"/>
                <w:szCs w:val="17"/>
                <w:color w:val="auto"/>
              </w:rPr>
              <w:t>Compensation and Indemnification of Trustee and Its Prior Claim</w:t>
            </w:r>
          </w:p>
        </w:tc>
        <w:tc>
          <w:tcPr>
            <w:tcW w:w="164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48"/>
        </w:trPr>
        <w:tc>
          <w:tcPr>
            <w:tcW w:w="1460" w:type="dxa"/>
            <w:vAlign w:val="bottom"/>
            <w:gridSpan w:val="2"/>
          </w:tcPr>
          <w:p>
            <w:pPr>
              <w:jc w:val="right"/>
              <w:ind w:right="37"/>
              <w:spacing w:after="0"/>
              <w:rPr>
                <w:sz w:val="20"/>
                <w:szCs w:val="20"/>
                <w:color w:val="auto"/>
              </w:rPr>
            </w:pPr>
            <w:r>
              <w:rPr>
                <w:rFonts w:ascii="Arial" w:cs="Arial" w:eastAsia="Arial" w:hAnsi="Arial"/>
                <w:sz w:val="17"/>
                <w:szCs w:val="17"/>
                <w:color w:val="auto"/>
              </w:rPr>
              <w:t>Section 6.07</w:t>
            </w:r>
          </w:p>
        </w:tc>
        <w:tc>
          <w:tcPr>
            <w:tcW w:w="8140" w:type="dxa"/>
            <w:vAlign w:val="bottom"/>
          </w:tcPr>
          <w:p>
            <w:pPr>
              <w:ind w:left="100"/>
              <w:spacing w:after="0"/>
              <w:rPr>
                <w:sz w:val="20"/>
                <w:szCs w:val="20"/>
                <w:color w:val="auto"/>
              </w:rPr>
            </w:pPr>
            <w:r>
              <w:rPr>
                <w:rFonts w:ascii="Arial" w:cs="Arial" w:eastAsia="Arial" w:hAnsi="Arial"/>
                <w:sz w:val="17"/>
                <w:szCs w:val="17"/>
                <w:color w:val="auto"/>
              </w:rPr>
              <w:t>Right of Trustee to Rely on Officer’s Certificate, Etc</w:t>
            </w:r>
          </w:p>
        </w:tc>
        <w:tc>
          <w:tcPr>
            <w:tcW w:w="164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48"/>
        </w:trPr>
        <w:tc>
          <w:tcPr>
            <w:tcW w:w="1460" w:type="dxa"/>
            <w:vAlign w:val="bottom"/>
            <w:gridSpan w:val="2"/>
          </w:tcPr>
          <w:p>
            <w:pPr>
              <w:jc w:val="right"/>
              <w:ind w:right="37"/>
              <w:spacing w:after="0"/>
              <w:rPr>
                <w:sz w:val="20"/>
                <w:szCs w:val="20"/>
                <w:color w:val="auto"/>
              </w:rPr>
            </w:pPr>
            <w:r>
              <w:rPr>
                <w:rFonts w:ascii="Arial" w:cs="Arial" w:eastAsia="Arial" w:hAnsi="Arial"/>
                <w:sz w:val="17"/>
                <w:szCs w:val="17"/>
                <w:color w:val="auto"/>
              </w:rPr>
              <w:t>Section 6.08</w:t>
            </w:r>
          </w:p>
        </w:tc>
        <w:tc>
          <w:tcPr>
            <w:tcW w:w="8140" w:type="dxa"/>
            <w:vAlign w:val="bottom"/>
          </w:tcPr>
          <w:p>
            <w:pPr>
              <w:ind w:left="100"/>
              <w:spacing w:after="0"/>
              <w:rPr>
                <w:sz w:val="20"/>
                <w:szCs w:val="20"/>
                <w:color w:val="auto"/>
              </w:rPr>
            </w:pPr>
            <w:r>
              <w:rPr>
                <w:rFonts w:ascii="Arial" w:cs="Arial" w:eastAsia="Arial" w:hAnsi="Arial"/>
                <w:sz w:val="17"/>
                <w:szCs w:val="17"/>
                <w:color w:val="auto"/>
              </w:rPr>
              <w:t>Disqualification; Conflicting Interests</w:t>
            </w:r>
          </w:p>
        </w:tc>
        <w:tc>
          <w:tcPr>
            <w:tcW w:w="164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48"/>
        </w:trPr>
        <w:tc>
          <w:tcPr>
            <w:tcW w:w="1460" w:type="dxa"/>
            <w:vAlign w:val="bottom"/>
            <w:gridSpan w:val="2"/>
          </w:tcPr>
          <w:p>
            <w:pPr>
              <w:jc w:val="right"/>
              <w:ind w:right="37"/>
              <w:spacing w:after="0"/>
              <w:rPr>
                <w:sz w:val="20"/>
                <w:szCs w:val="20"/>
                <w:color w:val="auto"/>
              </w:rPr>
            </w:pPr>
            <w:r>
              <w:rPr>
                <w:rFonts w:ascii="Arial" w:cs="Arial" w:eastAsia="Arial" w:hAnsi="Arial"/>
                <w:sz w:val="17"/>
                <w:szCs w:val="17"/>
                <w:color w:val="auto"/>
              </w:rPr>
              <w:t>Section 6.09</w:t>
            </w:r>
          </w:p>
        </w:tc>
        <w:tc>
          <w:tcPr>
            <w:tcW w:w="8140" w:type="dxa"/>
            <w:vAlign w:val="bottom"/>
          </w:tcPr>
          <w:p>
            <w:pPr>
              <w:ind w:left="100"/>
              <w:spacing w:after="0"/>
              <w:rPr>
                <w:sz w:val="20"/>
                <w:szCs w:val="20"/>
                <w:color w:val="auto"/>
              </w:rPr>
            </w:pPr>
            <w:r>
              <w:rPr>
                <w:rFonts w:ascii="Arial" w:cs="Arial" w:eastAsia="Arial" w:hAnsi="Arial"/>
                <w:sz w:val="17"/>
                <w:szCs w:val="17"/>
                <w:color w:val="auto"/>
              </w:rPr>
              <w:t>Persons Eligible for Appointment as Trustee</w:t>
            </w:r>
          </w:p>
        </w:tc>
        <w:tc>
          <w:tcPr>
            <w:tcW w:w="164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48"/>
        </w:trPr>
        <w:tc>
          <w:tcPr>
            <w:tcW w:w="1460" w:type="dxa"/>
            <w:vAlign w:val="bottom"/>
            <w:gridSpan w:val="2"/>
          </w:tcPr>
          <w:p>
            <w:pPr>
              <w:jc w:val="right"/>
              <w:ind w:right="37"/>
              <w:spacing w:after="0"/>
              <w:rPr>
                <w:sz w:val="20"/>
                <w:szCs w:val="20"/>
                <w:color w:val="auto"/>
              </w:rPr>
            </w:pPr>
            <w:r>
              <w:rPr>
                <w:rFonts w:ascii="Arial" w:cs="Arial" w:eastAsia="Arial" w:hAnsi="Arial"/>
                <w:sz w:val="17"/>
                <w:szCs w:val="17"/>
                <w:color w:val="auto"/>
              </w:rPr>
              <w:t>Section 6.10</w:t>
            </w:r>
          </w:p>
        </w:tc>
        <w:tc>
          <w:tcPr>
            <w:tcW w:w="8140" w:type="dxa"/>
            <w:vAlign w:val="bottom"/>
          </w:tcPr>
          <w:p>
            <w:pPr>
              <w:ind w:left="100"/>
              <w:spacing w:after="0"/>
              <w:rPr>
                <w:sz w:val="20"/>
                <w:szCs w:val="20"/>
                <w:color w:val="auto"/>
              </w:rPr>
            </w:pPr>
            <w:r>
              <w:rPr>
                <w:rFonts w:ascii="Arial" w:cs="Arial" w:eastAsia="Arial" w:hAnsi="Arial"/>
                <w:sz w:val="17"/>
                <w:szCs w:val="17"/>
                <w:color w:val="auto"/>
              </w:rPr>
              <w:t>Resignation and Removal; Appointment of Successor Trustee</w:t>
            </w:r>
          </w:p>
        </w:tc>
        <w:tc>
          <w:tcPr>
            <w:tcW w:w="164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48"/>
        </w:trPr>
        <w:tc>
          <w:tcPr>
            <w:tcW w:w="1460" w:type="dxa"/>
            <w:vAlign w:val="bottom"/>
            <w:gridSpan w:val="2"/>
          </w:tcPr>
          <w:p>
            <w:pPr>
              <w:jc w:val="right"/>
              <w:ind w:right="37"/>
              <w:spacing w:after="0"/>
              <w:rPr>
                <w:sz w:val="20"/>
                <w:szCs w:val="20"/>
                <w:color w:val="auto"/>
              </w:rPr>
            </w:pPr>
            <w:r>
              <w:rPr>
                <w:rFonts w:ascii="Arial" w:cs="Arial" w:eastAsia="Arial" w:hAnsi="Arial"/>
                <w:sz w:val="17"/>
                <w:szCs w:val="17"/>
                <w:color w:val="auto"/>
              </w:rPr>
              <w:t>Section 6.11</w:t>
            </w:r>
          </w:p>
        </w:tc>
        <w:tc>
          <w:tcPr>
            <w:tcW w:w="8140" w:type="dxa"/>
            <w:vAlign w:val="bottom"/>
          </w:tcPr>
          <w:p>
            <w:pPr>
              <w:ind w:left="100"/>
              <w:spacing w:after="0"/>
              <w:rPr>
                <w:sz w:val="20"/>
                <w:szCs w:val="20"/>
                <w:color w:val="auto"/>
              </w:rPr>
            </w:pPr>
            <w:r>
              <w:rPr>
                <w:rFonts w:ascii="Arial" w:cs="Arial" w:eastAsia="Arial" w:hAnsi="Arial"/>
                <w:sz w:val="17"/>
                <w:szCs w:val="17"/>
                <w:color w:val="auto"/>
              </w:rPr>
              <w:t>Acceptance of Appointment by Successor Trustee</w:t>
            </w:r>
          </w:p>
        </w:tc>
        <w:tc>
          <w:tcPr>
            <w:tcW w:w="164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48"/>
        </w:trPr>
        <w:tc>
          <w:tcPr>
            <w:tcW w:w="1460" w:type="dxa"/>
            <w:vAlign w:val="bottom"/>
            <w:gridSpan w:val="2"/>
          </w:tcPr>
          <w:p>
            <w:pPr>
              <w:jc w:val="right"/>
              <w:ind w:right="37"/>
              <w:spacing w:after="0"/>
              <w:rPr>
                <w:sz w:val="20"/>
                <w:szCs w:val="20"/>
                <w:color w:val="auto"/>
              </w:rPr>
            </w:pPr>
            <w:r>
              <w:rPr>
                <w:rFonts w:ascii="Arial" w:cs="Arial" w:eastAsia="Arial" w:hAnsi="Arial"/>
                <w:sz w:val="17"/>
                <w:szCs w:val="17"/>
                <w:color w:val="auto"/>
              </w:rPr>
              <w:t>Section 6.12</w:t>
            </w:r>
          </w:p>
        </w:tc>
        <w:tc>
          <w:tcPr>
            <w:tcW w:w="8140" w:type="dxa"/>
            <w:vAlign w:val="bottom"/>
          </w:tcPr>
          <w:p>
            <w:pPr>
              <w:ind w:left="100"/>
              <w:spacing w:after="0"/>
              <w:rPr>
                <w:sz w:val="20"/>
                <w:szCs w:val="20"/>
                <w:color w:val="auto"/>
              </w:rPr>
            </w:pPr>
            <w:r>
              <w:rPr>
                <w:rFonts w:ascii="Arial" w:cs="Arial" w:eastAsia="Arial" w:hAnsi="Arial"/>
                <w:sz w:val="17"/>
                <w:szCs w:val="17"/>
                <w:color w:val="auto"/>
              </w:rPr>
              <w:t>Merger, Conversion, Consolidation or Succession to Business of Trustee</w:t>
            </w:r>
          </w:p>
        </w:tc>
        <w:tc>
          <w:tcPr>
            <w:tcW w:w="164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48"/>
        </w:trPr>
        <w:tc>
          <w:tcPr>
            <w:tcW w:w="1460" w:type="dxa"/>
            <w:vAlign w:val="bottom"/>
            <w:gridSpan w:val="2"/>
          </w:tcPr>
          <w:p>
            <w:pPr>
              <w:jc w:val="right"/>
              <w:ind w:right="37"/>
              <w:spacing w:after="0"/>
              <w:rPr>
                <w:sz w:val="20"/>
                <w:szCs w:val="20"/>
                <w:color w:val="auto"/>
              </w:rPr>
            </w:pPr>
            <w:r>
              <w:rPr>
                <w:rFonts w:ascii="Arial" w:cs="Arial" w:eastAsia="Arial" w:hAnsi="Arial"/>
                <w:sz w:val="17"/>
                <w:szCs w:val="17"/>
                <w:color w:val="auto"/>
              </w:rPr>
              <w:t>Section 6.13</w:t>
            </w:r>
          </w:p>
        </w:tc>
        <w:tc>
          <w:tcPr>
            <w:tcW w:w="8140" w:type="dxa"/>
            <w:vAlign w:val="bottom"/>
          </w:tcPr>
          <w:p>
            <w:pPr>
              <w:ind w:left="100"/>
              <w:spacing w:after="0"/>
              <w:rPr>
                <w:sz w:val="20"/>
                <w:szCs w:val="20"/>
                <w:color w:val="auto"/>
              </w:rPr>
            </w:pPr>
            <w:r>
              <w:rPr>
                <w:rFonts w:ascii="Arial" w:cs="Arial" w:eastAsia="Arial" w:hAnsi="Arial"/>
                <w:sz w:val="17"/>
                <w:szCs w:val="17"/>
                <w:color w:val="auto"/>
              </w:rPr>
              <w:t>Preferential Collection of Claims Against the Issuer</w:t>
            </w:r>
          </w:p>
        </w:tc>
        <w:tc>
          <w:tcPr>
            <w:tcW w:w="164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422"/>
        </w:trPr>
        <w:tc>
          <w:tcPr>
            <w:tcW w:w="1060" w:type="dxa"/>
            <w:vAlign w:val="bottom"/>
          </w:tcPr>
          <w:p>
            <w:pPr>
              <w:spacing w:after="0"/>
              <w:rPr>
                <w:sz w:val="20"/>
                <w:szCs w:val="20"/>
                <w:color w:val="auto"/>
              </w:rPr>
            </w:pPr>
            <w:r>
              <w:rPr>
                <w:rFonts w:ascii="Arial" w:cs="Arial" w:eastAsia="Arial" w:hAnsi="Arial"/>
                <w:sz w:val="17"/>
                <w:szCs w:val="17"/>
                <w:color w:val="auto"/>
              </w:rPr>
              <w:t>ARTICLE 7</w:t>
            </w:r>
          </w:p>
        </w:tc>
        <w:tc>
          <w:tcPr>
            <w:tcW w:w="8540" w:type="dxa"/>
            <w:vAlign w:val="bottom"/>
            <w:gridSpan w:val="2"/>
          </w:tcPr>
          <w:p>
            <w:pPr>
              <w:ind w:left="160"/>
              <w:spacing w:after="0"/>
              <w:rPr>
                <w:sz w:val="20"/>
                <w:szCs w:val="20"/>
                <w:color w:val="auto"/>
              </w:rPr>
            </w:pPr>
            <w:r>
              <w:rPr>
                <w:rFonts w:ascii="Arial" w:cs="Arial" w:eastAsia="Arial" w:hAnsi="Arial"/>
                <w:sz w:val="17"/>
                <w:szCs w:val="17"/>
                <w:color w:val="auto"/>
              </w:rPr>
              <w:t>CONCERNING THE SECURITYHOLDERS</w:t>
            </w:r>
          </w:p>
        </w:tc>
        <w:tc>
          <w:tcPr>
            <w:tcW w:w="164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48"/>
        </w:trPr>
        <w:tc>
          <w:tcPr>
            <w:tcW w:w="1460" w:type="dxa"/>
            <w:vAlign w:val="bottom"/>
            <w:gridSpan w:val="2"/>
          </w:tcPr>
          <w:p>
            <w:pPr>
              <w:jc w:val="right"/>
              <w:ind w:right="37"/>
              <w:spacing w:after="0"/>
              <w:rPr>
                <w:sz w:val="20"/>
                <w:szCs w:val="20"/>
                <w:color w:val="auto"/>
              </w:rPr>
            </w:pPr>
            <w:r>
              <w:rPr>
                <w:rFonts w:ascii="Arial" w:cs="Arial" w:eastAsia="Arial" w:hAnsi="Arial"/>
                <w:sz w:val="17"/>
                <w:szCs w:val="17"/>
                <w:color w:val="auto"/>
              </w:rPr>
              <w:t>Section 7.01</w:t>
            </w:r>
          </w:p>
        </w:tc>
        <w:tc>
          <w:tcPr>
            <w:tcW w:w="8140" w:type="dxa"/>
            <w:vAlign w:val="bottom"/>
          </w:tcPr>
          <w:p>
            <w:pPr>
              <w:ind w:left="100"/>
              <w:spacing w:after="0"/>
              <w:rPr>
                <w:sz w:val="20"/>
                <w:szCs w:val="20"/>
                <w:color w:val="auto"/>
              </w:rPr>
            </w:pPr>
            <w:r>
              <w:rPr>
                <w:rFonts w:ascii="Arial" w:cs="Arial" w:eastAsia="Arial" w:hAnsi="Arial"/>
                <w:sz w:val="17"/>
                <w:szCs w:val="17"/>
                <w:color w:val="auto"/>
              </w:rPr>
              <w:t>Evidence of Action Taken by Securityholders</w:t>
            </w:r>
          </w:p>
        </w:tc>
        <w:tc>
          <w:tcPr>
            <w:tcW w:w="164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48"/>
        </w:trPr>
        <w:tc>
          <w:tcPr>
            <w:tcW w:w="1460" w:type="dxa"/>
            <w:vAlign w:val="bottom"/>
            <w:gridSpan w:val="2"/>
          </w:tcPr>
          <w:p>
            <w:pPr>
              <w:jc w:val="right"/>
              <w:ind w:right="37"/>
              <w:spacing w:after="0"/>
              <w:rPr>
                <w:sz w:val="20"/>
                <w:szCs w:val="20"/>
                <w:color w:val="auto"/>
              </w:rPr>
            </w:pPr>
            <w:r>
              <w:rPr>
                <w:rFonts w:ascii="Arial" w:cs="Arial" w:eastAsia="Arial" w:hAnsi="Arial"/>
                <w:sz w:val="17"/>
                <w:szCs w:val="17"/>
                <w:color w:val="auto"/>
              </w:rPr>
              <w:t>Section 7.02</w:t>
            </w:r>
          </w:p>
        </w:tc>
        <w:tc>
          <w:tcPr>
            <w:tcW w:w="8140" w:type="dxa"/>
            <w:vAlign w:val="bottom"/>
          </w:tcPr>
          <w:p>
            <w:pPr>
              <w:ind w:left="100"/>
              <w:spacing w:after="0"/>
              <w:rPr>
                <w:sz w:val="20"/>
                <w:szCs w:val="20"/>
                <w:color w:val="auto"/>
              </w:rPr>
            </w:pPr>
            <w:r>
              <w:rPr>
                <w:rFonts w:ascii="Arial" w:cs="Arial" w:eastAsia="Arial" w:hAnsi="Arial"/>
                <w:sz w:val="17"/>
                <w:szCs w:val="17"/>
                <w:color w:val="auto"/>
              </w:rPr>
              <w:t>Proof of Execution of Instruments and of Holding of Securities</w:t>
            </w:r>
          </w:p>
        </w:tc>
        <w:tc>
          <w:tcPr>
            <w:tcW w:w="164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48"/>
        </w:trPr>
        <w:tc>
          <w:tcPr>
            <w:tcW w:w="1460" w:type="dxa"/>
            <w:vAlign w:val="bottom"/>
            <w:gridSpan w:val="2"/>
          </w:tcPr>
          <w:p>
            <w:pPr>
              <w:jc w:val="right"/>
              <w:ind w:right="37"/>
              <w:spacing w:after="0"/>
              <w:rPr>
                <w:sz w:val="20"/>
                <w:szCs w:val="20"/>
                <w:color w:val="auto"/>
              </w:rPr>
            </w:pPr>
            <w:r>
              <w:rPr>
                <w:rFonts w:ascii="Arial" w:cs="Arial" w:eastAsia="Arial" w:hAnsi="Arial"/>
                <w:sz w:val="17"/>
                <w:szCs w:val="17"/>
                <w:color w:val="auto"/>
              </w:rPr>
              <w:t>Section 7.03</w:t>
            </w:r>
          </w:p>
        </w:tc>
        <w:tc>
          <w:tcPr>
            <w:tcW w:w="8140" w:type="dxa"/>
            <w:vAlign w:val="bottom"/>
          </w:tcPr>
          <w:p>
            <w:pPr>
              <w:ind w:left="100"/>
              <w:spacing w:after="0"/>
              <w:rPr>
                <w:sz w:val="20"/>
                <w:szCs w:val="20"/>
                <w:color w:val="auto"/>
              </w:rPr>
            </w:pPr>
            <w:r>
              <w:rPr>
                <w:rFonts w:ascii="Arial" w:cs="Arial" w:eastAsia="Arial" w:hAnsi="Arial"/>
                <w:sz w:val="17"/>
                <w:szCs w:val="17"/>
                <w:color w:val="auto"/>
              </w:rPr>
              <w:t>Holders to Be Treated as Owners</w:t>
            </w:r>
          </w:p>
        </w:tc>
        <w:tc>
          <w:tcPr>
            <w:tcW w:w="164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48"/>
        </w:trPr>
        <w:tc>
          <w:tcPr>
            <w:tcW w:w="1460" w:type="dxa"/>
            <w:vAlign w:val="bottom"/>
            <w:gridSpan w:val="2"/>
          </w:tcPr>
          <w:p>
            <w:pPr>
              <w:jc w:val="right"/>
              <w:ind w:right="37"/>
              <w:spacing w:after="0"/>
              <w:rPr>
                <w:sz w:val="20"/>
                <w:szCs w:val="20"/>
                <w:color w:val="auto"/>
              </w:rPr>
            </w:pPr>
            <w:r>
              <w:rPr>
                <w:rFonts w:ascii="Arial" w:cs="Arial" w:eastAsia="Arial" w:hAnsi="Arial"/>
                <w:sz w:val="17"/>
                <w:szCs w:val="17"/>
                <w:color w:val="auto"/>
              </w:rPr>
              <w:t>Section 7.04</w:t>
            </w:r>
          </w:p>
        </w:tc>
        <w:tc>
          <w:tcPr>
            <w:tcW w:w="8140" w:type="dxa"/>
            <w:vAlign w:val="bottom"/>
          </w:tcPr>
          <w:p>
            <w:pPr>
              <w:ind w:left="100"/>
              <w:spacing w:after="0"/>
              <w:rPr>
                <w:sz w:val="20"/>
                <w:szCs w:val="20"/>
                <w:color w:val="auto"/>
              </w:rPr>
            </w:pPr>
            <w:r>
              <w:rPr>
                <w:rFonts w:ascii="Arial" w:cs="Arial" w:eastAsia="Arial" w:hAnsi="Arial"/>
                <w:sz w:val="17"/>
                <w:szCs w:val="17"/>
                <w:color w:val="auto"/>
              </w:rPr>
              <w:t>Securities Owned by Issuer Deemed Not Outstanding</w:t>
            </w:r>
          </w:p>
        </w:tc>
        <w:tc>
          <w:tcPr>
            <w:tcW w:w="164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48"/>
        </w:trPr>
        <w:tc>
          <w:tcPr>
            <w:tcW w:w="1460" w:type="dxa"/>
            <w:vAlign w:val="bottom"/>
            <w:gridSpan w:val="2"/>
          </w:tcPr>
          <w:p>
            <w:pPr>
              <w:jc w:val="right"/>
              <w:ind w:right="37"/>
              <w:spacing w:after="0"/>
              <w:rPr>
                <w:sz w:val="20"/>
                <w:szCs w:val="20"/>
                <w:color w:val="auto"/>
              </w:rPr>
            </w:pPr>
            <w:r>
              <w:rPr>
                <w:rFonts w:ascii="Arial" w:cs="Arial" w:eastAsia="Arial" w:hAnsi="Arial"/>
                <w:sz w:val="17"/>
                <w:szCs w:val="17"/>
                <w:color w:val="auto"/>
              </w:rPr>
              <w:t>Section 7.05</w:t>
            </w:r>
          </w:p>
        </w:tc>
        <w:tc>
          <w:tcPr>
            <w:tcW w:w="8140" w:type="dxa"/>
            <w:vAlign w:val="bottom"/>
          </w:tcPr>
          <w:p>
            <w:pPr>
              <w:ind w:left="100"/>
              <w:spacing w:after="0"/>
              <w:rPr>
                <w:sz w:val="20"/>
                <w:szCs w:val="20"/>
                <w:color w:val="auto"/>
              </w:rPr>
            </w:pPr>
            <w:r>
              <w:rPr>
                <w:rFonts w:ascii="Arial" w:cs="Arial" w:eastAsia="Arial" w:hAnsi="Arial"/>
                <w:sz w:val="17"/>
                <w:szCs w:val="17"/>
                <w:color w:val="auto"/>
              </w:rPr>
              <w:t>Right of Revocation of Action Taken</w:t>
            </w:r>
          </w:p>
        </w:tc>
        <w:tc>
          <w:tcPr>
            <w:tcW w:w="164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422"/>
        </w:trPr>
        <w:tc>
          <w:tcPr>
            <w:tcW w:w="1060" w:type="dxa"/>
            <w:vAlign w:val="bottom"/>
          </w:tcPr>
          <w:p>
            <w:pPr>
              <w:spacing w:after="0"/>
              <w:rPr>
                <w:sz w:val="20"/>
                <w:szCs w:val="20"/>
                <w:color w:val="auto"/>
              </w:rPr>
            </w:pPr>
            <w:r>
              <w:rPr>
                <w:rFonts w:ascii="Arial" w:cs="Arial" w:eastAsia="Arial" w:hAnsi="Arial"/>
                <w:sz w:val="17"/>
                <w:szCs w:val="17"/>
                <w:color w:val="auto"/>
              </w:rPr>
              <w:t>ARTICLE 8</w:t>
            </w:r>
          </w:p>
        </w:tc>
        <w:tc>
          <w:tcPr>
            <w:tcW w:w="8540" w:type="dxa"/>
            <w:vAlign w:val="bottom"/>
            <w:gridSpan w:val="2"/>
          </w:tcPr>
          <w:p>
            <w:pPr>
              <w:ind w:left="160"/>
              <w:spacing w:after="0"/>
              <w:rPr>
                <w:sz w:val="20"/>
                <w:szCs w:val="20"/>
                <w:color w:val="auto"/>
              </w:rPr>
            </w:pPr>
            <w:r>
              <w:rPr>
                <w:rFonts w:ascii="Arial" w:cs="Arial" w:eastAsia="Arial" w:hAnsi="Arial"/>
                <w:sz w:val="17"/>
                <w:szCs w:val="17"/>
                <w:color w:val="auto"/>
              </w:rPr>
              <w:t>SUPPLEMENTAL INDENTURES</w:t>
            </w:r>
          </w:p>
        </w:tc>
        <w:tc>
          <w:tcPr>
            <w:tcW w:w="164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48"/>
        </w:trPr>
        <w:tc>
          <w:tcPr>
            <w:tcW w:w="1460" w:type="dxa"/>
            <w:vAlign w:val="bottom"/>
            <w:gridSpan w:val="2"/>
          </w:tcPr>
          <w:p>
            <w:pPr>
              <w:jc w:val="right"/>
              <w:ind w:right="37"/>
              <w:spacing w:after="0"/>
              <w:rPr>
                <w:sz w:val="20"/>
                <w:szCs w:val="20"/>
                <w:color w:val="auto"/>
              </w:rPr>
            </w:pPr>
            <w:r>
              <w:rPr>
                <w:rFonts w:ascii="Arial" w:cs="Arial" w:eastAsia="Arial" w:hAnsi="Arial"/>
                <w:sz w:val="17"/>
                <w:szCs w:val="17"/>
                <w:color w:val="auto"/>
              </w:rPr>
              <w:t>Section 8.01</w:t>
            </w:r>
          </w:p>
        </w:tc>
        <w:tc>
          <w:tcPr>
            <w:tcW w:w="8140" w:type="dxa"/>
            <w:vAlign w:val="bottom"/>
          </w:tcPr>
          <w:p>
            <w:pPr>
              <w:ind w:left="100"/>
              <w:spacing w:after="0"/>
              <w:rPr>
                <w:sz w:val="20"/>
                <w:szCs w:val="20"/>
                <w:color w:val="auto"/>
              </w:rPr>
            </w:pPr>
            <w:r>
              <w:rPr>
                <w:rFonts w:ascii="Arial" w:cs="Arial" w:eastAsia="Arial" w:hAnsi="Arial"/>
                <w:sz w:val="17"/>
                <w:szCs w:val="17"/>
                <w:color w:val="auto"/>
              </w:rPr>
              <w:t>Supplemental Indentures Without Consent of Securityholders</w:t>
            </w:r>
          </w:p>
        </w:tc>
        <w:tc>
          <w:tcPr>
            <w:tcW w:w="164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48"/>
        </w:trPr>
        <w:tc>
          <w:tcPr>
            <w:tcW w:w="1460" w:type="dxa"/>
            <w:vAlign w:val="bottom"/>
            <w:gridSpan w:val="2"/>
          </w:tcPr>
          <w:p>
            <w:pPr>
              <w:jc w:val="right"/>
              <w:ind w:right="37"/>
              <w:spacing w:after="0"/>
              <w:rPr>
                <w:sz w:val="20"/>
                <w:szCs w:val="20"/>
                <w:color w:val="auto"/>
              </w:rPr>
            </w:pPr>
            <w:r>
              <w:rPr>
                <w:rFonts w:ascii="Arial" w:cs="Arial" w:eastAsia="Arial" w:hAnsi="Arial"/>
                <w:sz w:val="17"/>
                <w:szCs w:val="17"/>
                <w:color w:val="auto"/>
              </w:rPr>
              <w:t>Section 8.02</w:t>
            </w:r>
          </w:p>
        </w:tc>
        <w:tc>
          <w:tcPr>
            <w:tcW w:w="8140" w:type="dxa"/>
            <w:vAlign w:val="bottom"/>
          </w:tcPr>
          <w:p>
            <w:pPr>
              <w:ind w:left="100"/>
              <w:spacing w:after="0"/>
              <w:rPr>
                <w:sz w:val="20"/>
                <w:szCs w:val="20"/>
                <w:color w:val="auto"/>
              </w:rPr>
            </w:pPr>
            <w:r>
              <w:rPr>
                <w:rFonts w:ascii="Arial" w:cs="Arial" w:eastAsia="Arial" w:hAnsi="Arial"/>
                <w:sz w:val="17"/>
                <w:szCs w:val="17"/>
                <w:color w:val="auto"/>
              </w:rPr>
              <w:t>Supplemental Indentures With Consent of Securityholders</w:t>
            </w:r>
          </w:p>
        </w:tc>
        <w:tc>
          <w:tcPr>
            <w:tcW w:w="164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48"/>
        </w:trPr>
        <w:tc>
          <w:tcPr>
            <w:tcW w:w="1460" w:type="dxa"/>
            <w:vAlign w:val="bottom"/>
            <w:gridSpan w:val="2"/>
          </w:tcPr>
          <w:p>
            <w:pPr>
              <w:jc w:val="right"/>
              <w:ind w:right="37"/>
              <w:spacing w:after="0"/>
              <w:rPr>
                <w:sz w:val="20"/>
                <w:szCs w:val="20"/>
                <w:color w:val="auto"/>
              </w:rPr>
            </w:pPr>
            <w:r>
              <w:rPr>
                <w:rFonts w:ascii="Arial" w:cs="Arial" w:eastAsia="Arial" w:hAnsi="Arial"/>
                <w:sz w:val="17"/>
                <w:szCs w:val="17"/>
                <w:color w:val="auto"/>
              </w:rPr>
              <w:t>Section 8.03</w:t>
            </w:r>
          </w:p>
        </w:tc>
        <w:tc>
          <w:tcPr>
            <w:tcW w:w="8140" w:type="dxa"/>
            <w:vAlign w:val="bottom"/>
          </w:tcPr>
          <w:p>
            <w:pPr>
              <w:ind w:left="100"/>
              <w:spacing w:after="0"/>
              <w:rPr>
                <w:sz w:val="20"/>
                <w:szCs w:val="20"/>
                <w:color w:val="auto"/>
              </w:rPr>
            </w:pPr>
            <w:r>
              <w:rPr>
                <w:rFonts w:ascii="Arial" w:cs="Arial" w:eastAsia="Arial" w:hAnsi="Arial"/>
                <w:sz w:val="17"/>
                <w:szCs w:val="17"/>
                <w:color w:val="auto"/>
              </w:rPr>
              <w:t>Effect of Supplemental Indenture</w:t>
            </w:r>
          </w:p>
        </w:tc>
        <w:tc>
          <w:tcPr>
            <w:tcW w:w="164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48"/>
        </w:trPr>
        <w:tc>
          <w:tcPr>
            <w:tcW w:w="1460" w:type="dxa"/>
            <w:vAlign w:val="bottom"/>
            <w:gridSpan w:val="2"/>
          </w:tcPr>
          <w:p>
            <w:pPr>
              <w:jc w:val="right"/>
              <w:ind w:right="37"/>
              <w:spacing w:after="0"/>
              <w:rPr>
                <w:sz w:val="20"/>
                <w:szCs w:val="20"/>
                <w:color w:val="auto"/>
              </w:rPr>
            </w:pPr>
            <w:r>
              <w:rPr>
                <w:rFonts w:ascii="Arial" w:cs="Arial" w:eastAsia="Arial" w:hAnsi="Arial"/>
                <w:sz w:val="17"/>
                <w:szCs w:val="17"/>
                <w:color w:val="auto"/>
              </w:rPr>
              <w:t>Section 8.04</w:t>
            </w:r>
          </w:p>
        </w:tc>
        <w:tc>
          <w:tcPr>
            <w:tcW w:w="8140" w:type="dxa"/>
            <w:vAlign w:val="bottom"/>
          </w:tcPr>
          <w:p>
            <w:pPr>
              <w:ind w:left="100"/>
              <w:spacing w:after="0"/>
              <w:rPr>
                <w:sz w:val="20"/>
                <w:szCs w:val="20"/>
                <w:color w:val="auto"/>
              </w:rPr>
            </w:pPr>
            <w:r>
              <w:rPr>
                <w:rFonts w:ascii="Arial" w:cs="Arial" w:eastAsia="Arial" w:hAnsi="Arial"/>
                <w:sz w:val="17"/>
                <w:szCs w:val="17"/>
                <w:color w:val="auto"/>
              </w:rPr>
              <w:t>Documents to Be Given to Trustee</w:t>
            </w:r>
          </w:p>
        </w:tc>
        <w:tc>
          <w:tcPr>
            <w:tcW w:w="164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48"/>
        </w:trPr>
        <w:tc>
          <w:tcPr>
            <w:tcW w:w="1460" w:type="dxa"/>
            <w:vAlign w:val="bottom"/>
            <w:gridSpan w:val="2"/>
          </w:tcPr>
          <w:p>
            <w:pPr>
              <w:jc w:val="right"/>
              <w:ind w:right="37"/>
              <w:spacing w:after="0"/>
              <w:rPr>
                <w:sz w:val="20"/>
                <w:szCs w:val="20"/>
                <w:color w:val="auto"/>
              </w:rPr>
            </w:pPr>
            <w:r>
              <w:rPr>
                <w:rFonts w:ascii="Arial" w:cs="Arial" w:eastAsia="Arial" w:hAnsi="Arial"/>
                <w:sz w:val="17"/>
                <w:szCs w:val="17"/>
                <w:color w:val="auto"/>
              </w:rPr>
              <w:t>Section 8.05</w:t>
            </w:r>
          </w:p>
        </w:tc>
        <w:tc>
          <w:tcPr>
            <w:tcW w:w="8140" w:type="dxa"/>
            <w:vAlign w:val="bottom"/>
          </w:tcPr>
          <w:p>
            <w:pPr>
              <w:ind w:left="100"/>
              <w:spacing w:after="0"/>
              <w:rPr>
                <w:sz w:val="20"/>
                <w:szCs w:val="20"/>
                <w:color w:val="auto"/>
              </w:rPr>
            </w:pPr>
            <w:r>
              <w:rPr>
                <w:rFonts w:ascii="Arial" w:cs="Arial" w:eastAsia="Arial" w:hAnsi="Arial"/>
                <w:sz w:val="17"/>
                <w:szCs w:val="17"/>
                <w:color w:val="auto"/>
              </w:rPr>
              <w:t>Notation on Securities in Respect of Supplemental Indentures</w:t>
            </w:r>
          </w:p>
        </w:tc>
        <w:tc>
          <w:tcPr>
            <w:tcW w:w="164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422"/>
        </w:trPr>
        <w:tc>
          <w:tcPr>
            <w:tcW w:w="1060" w:type="dxa"/>
            <w:vAlign w:val="bottom"/>
          </w:tcPr>
          <w:p>
            <w:pPr>
              <w:spacing w:after="0"/>
              <w:rPr>
                <w:sz w:val="20"/>
                <w:szCs w:val="20"/>
                <w:color w:val="auto"/>
              </w:rPr>
            </w:pPr>
            <w:r>
              <w:rPr>
                <w:rFonts w:ascii="Arial" w:cs="Arial" w:eastAsia="Arial" w:hAnsi="Arial"/>
                <w:sz w:val="17"/>
                <w:szCs w:val="17"/>
                <w:color w:val="auto"/>
              </w:rPr>
              <w:t>ARTICLE 9</w:t>
            </w:r>
          </w:p>
        </w:tc>
        <w:tc>
          <w:tcPr>
            <w:tcW w:w="8540" w:type="dxa"/>
            <w:vAlign w:val="bottom"/>
            <w:gridSpan w:val="2"/>
          </w:tcPr>
          <w:p>
            <w:pPr>
              <w:ind w:left="160"/>
              <w:spacing w:after="0"/>
              <w:rPr>
                <w:sz w:val="20"/>
                <w:szCs w:val="20"/>
                <w:color w:val="auto"/>
              </w:rPr>
            </w:pPr>
            <w:r>
              <w:rPr>
                <w:rFonts w:ascii="Arial" w:cs="Arial" w:eastAsia="Arial" w:hAnsi="Arial"/>
                <w:sz w:val="17"/>
                <w:szCs w:val="17"/>
                <w:color w:val="auto"/>
              </w:rPr>
              <w:t>CONSOLIDATION, MERGER, SALE OR CONVEYANCE</w:t>
            </w:r>
          </w:p>
        </w:tc>
        <w:tc>
          <w:tcPr>
            <w:tcW w:w="164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48"/>
        </w:trPr>
        <w:tc>
          <w:tcPr>
            <w:tcW w:w="1460" w:type="dxa"/>
            <w:vAlign w:val="bottom"/>
            <w:gridSpan w:val="2"/>
          </w:tcPr>
          <w:p>
            <w:pPr>
              <w:jc w:val="right"/>
              <w:ind w:right="37"/>
              <w:spacing w:after="0"/>
              <w:rPr>
                <w:sz w:val="20"/>
                <w:szCs w:val="20"/>
                <w:color w:val="auto"/>
              </w:rPr>
            </w:pPr>
            <w:r>
              <w:rPr>
                <w:rFonts w:ascii="Arial" w:cs="Arial" w:eastAsia="Arial" w:hAnsi="Arial"/>
                <w:sz w:val="17"/>
                <w:szCs w:val="17"/>
                <w:color w:val="auto"/>
              </w:rPr>
              <w:t>Section 9.01</w:t>
            </w:r>
          </w:p>
        </w:tc>
        <w:tc>
          <w:tcPr>
            <w:tcW w:w="8140" w:type="dxa"/>
            <w:vAlign w:val="bottom"/>
          </w:tcPr>
          <w:p>
            <w:pPr>
              <w:ind w:left="100"/>
              <w:spacing w:after="0"/>
              <w:rPr>
                <w:sz w:val="20"/>
                <w:szCs w:val="20"/>
                <w:color w:val="auto"/>
              </w:rPr>
            </w:pPr>
            <w:r>
              <w:rPr>
                <w:rFonts w:ascii="Arial" w:cs="Arial" w:eastAsia="Arial" w:hAnsi="Arial"/>
                <w:sz w:val="17"/>
                <w:szCs w:val="17"/>
                <w:color w:val="auto"/>
              </w:rPr>
              <w:t>Issuer May Consolidate, Etc., on Certain Terms</w:t>
            </w:r>
          </w:p>
        </w:tc>
        <w:tc>
          <w:tcPr>
            <w:tcW w:w="164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48"/>
        </w:trPr>
        <w:tc>
          <w:tcPr>
            <w:tcW w:w="1460" w:type="dxa"/>
            <w:vAlign w:val="bottom"/>
            <w:gridSpan w:val="2"/>
          </w:tcPr>
          <w:p>
            <w:pPr>
              <w:jc w:val="right"/>
              <w:ind w:right="37"/>
              <w:spacing w:after="0"/>
              <w:rPr>
                <w:sz w:val="20"/>
                <w:szCs w:val="20"/>
                <w:color w:val="auto"/>
              </w:rPr>
            </w:pPr>
            <w:r>
              <w:rPr>
                <w:rFonts w:ascii="Arial" w:cs="Arial" w:eastAsia="Arial" w:hAnsi="Arial"/>
                <w:sz w:val="17"/>
                <w:szCs w:val="17"/>
                <w:color w:val="auto"/>
              </w:rPr>
              <w:t>Section 9.02</w:t>
            </w:r>
          </w:p>
        </w:tc>
        <w:tc>
          <w:tcPr>
            <w:tcW w:w="8140" w:type="dxa"/>
            <w:vAlign w:val="bottom"/>
          </w:tcPr>
          <w:p>
            <w:pPr>
              <w:ind w:left="100"/>
              <w:spacing w:after="0"/>
              <w:rPr>
                <w:sz w:val="20"/>
                <w:szCs w:val="20"/>
                <w:color w:val="auto"/>
              </w:rPr>
            </w:pPr>
            <w:r>
              <w:rPr>
                <w:rFonts w:ascii="Arial" w:cs="Arial" w:eastAsia="Arial" w:hAnsi="Arial"/>
                <w:sz w:val="17"/>
                <w:szCs w:val="17"/>
                <w:color w:val="auto"/>
              </w:rPr>
              <w:t>Successor Issuer Substituted</w:t>
            </w:r>
          </w:p>
        </w:tc>
        <w:tc>
          <w:tcPr>
            <w:tcW w:w="164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422"/>
        </w:trPr>
        <w:tc>
          <w:tcPr>
            <w:tcW w:w="1060" w:type="dxa"/>
            <w:vAlign w:val="bottom"/>
          </w:tcPr>
          <w:p>
            <w:pPr>
              <w:spacing w:after="0"/>
              <w:rPr>
                <w:sz w:val="20"/>
                <w:szCs w:val="20"/>
                <w:color w:val="auto"/>
              </w:rPr>
            </w:pPr>
            <w:r>
              <w:rPr>
                <w:rFonts w:ascii="Arial" w:cs="Arial" w:eastAsia="Arial" w:hAnsi="Arial"/>
                <w:sz w:val="17"/>
                <w:szCs w:val="17"/>
                <w:color w:val="auto"/>
              </w:rPr>
              <w:t>ARTICLE 10</w:t>
            </w:r>
          </w:p>
        </w:tc>
        <w:tc>
          <w:tcPr>
            <w:tcW w:w="8540" w:type="dxa"/>
            <w:vAlign w:val="bottom"/>
            <w:gridSpan w:val="2"/>
          </w:tcPr>
          <w:p>
            <w:pPr>
              <w:ind w:left="160"/>
              <w:spacing w:after="0"/>
              <w:rPr>
                <w:sz w:val="20"/>
                <w:szCs w:val="20"/>
                <w:color w:val="auto"/>
              </w:rPr>
            </w:pPr>
            <w:r>
              <w:rPr>
                <w:rFonts w:ascii="Arial" w:cs="Arial" w:eastAsia="Arial" w:hAnsi="Arial"/>
                <w:sz w:val="17"/>
                <w:szCs w:val="17"/>
                <w:color w:val="auto"/>
              </w:rPr>
              <w:t>SATISFACTION AND DISCHARGE OF INDENTURE; DEFEASANCE; UNCLAIMED MONEYS</w:t>
            </w:r>
          </w:p>
        </w:tc>
        <w:tc>
          <w:tcPr>
            <w:tcW w:w="164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48"/>
        </w:trPr>
        <w:tc>
          <w:tcPr>
            <w:tcW w:w="1460" w:type="dxa"/>
            <w:vAlign w:val="bottom"/>
            <w:gridSpan w:val="2"/>
          </w:tcPr>
          <w:p>
            <w:pPr>
              <w:jc w:val="right"/>
              <w:ind w:right="37"/>
              <w:spacing w:after="0"/>
              <w:rPr>
                <w:sz w:val="20"/>
                <w:szCs w:val="20"/>
                <w:color w:val="auto"/>
              </w:rPr>
            </w:pPr>
            <w:r>
              <w:rPr>
                <w:rFonts w:ascii="Arial" w:cs="Arial" w:eastAsia="Arial" w:hAnsi="Arial"/>
                <w:sz w:val="17"/>
                <w:szCs w:val="17"/>
                <w:color w:val="auto"/>
              </w:rPr>
              <w:t>Section 10.01</w:t>
            </w:r>
          </w:p>
        </w:tc>
        <w:tc>
          <w:tcPr>
            <w:tcW w:w="8140" w:type="dxa"/>
            <w:vAlign w:val="bottom"/>
          </w:tcPr>
          <w:p>
            <w:pPr>
              <w:ind w:left="100"/>
              <w:spacing w:after="0"/>
              <w:rPr>
                <w:sz w:val="20"/>
                <w:szCs w:val="20"/>
                <w:color w:val="auto"/>
              </w:rPr>
            </w:pPr>
            <w:r>
              <w:rPr>
                <w:rFonts w:ascii="Arial" w:cs="Arial" w:eastAsia="Arial" w:hAnsi="Arial"/>
                <w:sz w:val="17"/>
                <w:szCs w:val="17"/>
                <w:color w:val="auto"/>
              </w:rPr>
              <w:t>Satisfaction and Discharge of Indenture; Defeasance</w:t>
            </w:r>
          </w:p>
        </w:tc>
        <w:tc>
          <w:tcPr>
            <w:tcW w:w="1640" w:type="dxa"/>
            <w:vAlign w:val="bottom"/>
          </w:tcPr>
          <w:p>
            <w:pPr>
              <w:jc w:val="right"/>
              <w:spacing w:after="0"/>
              <w:rPr>
                <w:sz w:val="20"/>
                <w:szCs w:val="20"/>
                <w:color w:val="auto"/>
              </w:rPr>
            </w:pPr>
            <w:r>
              <w:rPr>
                <w:rFonts w:ascii="Arial" w:cs="Arial" w:eastAsia="Arial" w:hAnsi="Arial"/>
                <w:sz w:val="17"/>
                <w:szCs w:val="17"/>
                <w:color w:val="auto"/>
              </w:rPr>
              <w:t>40</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6">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921"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9"/>
        </w:trPr>
        <w:tc>
          <w:tcPr>
            <w:tcW w:w="1460" w:type="dxa"/>
            <w:vAlign w:val="bottom"/>
            <w:gridSpan w:val="2"/>
          </w:tcPr>
          <w:p>
            <w:pPr>
              <w:ind w:left="420"/>
              <w:spacing w:after="0"/>
              <w:rPr>
                <w:sz w:val="20"/>
                <w:szCs w:val="20"/>
                <w:color w:val="auto"/>
              </w:rPr>
            </w:pPr>
            <w:r>
              <w:rPr>
                <w:rFonts w:ascii="Arial" w:cs="Arial" w:eastAsia="Arial" w:hAnsi="Arial"/>
                <w:sz w:val="17"/>
                <w:szCs w:val="17"/>
                <w:color w:val="auto"/>
                <w:w w:val="98"/>
              </w:rPr>
              <w:t>Section 10.02</w:t>
            </w:r>
          </w:p>
        </w:tc>
        <w:tc>
          <w:tcPr>
            <w:tcW w:w="7640" w:type="dxa"/>
            <w:vAlign w:val="bottom"/>
          </w:tcPr>
          <w:p>
            <w:pPr>
              <w:ind w:left="100"/>
              <w:spacing w:after="0"/>
              <w:rPr>
                <w:sz w:val="20"/>
                <w:szCs w:val="20"/>
                <w:color w:val="auto"/>
              </w:rPr>
            </w:pPr>
            <w:r>
              <w:rPr>
                <w:rFonts w:ascii="Arial" w:cs="Arial" w:eastAsia="Arial" w:hAnsi="Arial"/>
                <w:sz w:val="17"/>
                <w:szCs w:val="17"/>
                <w:color w:val="auto"/>
              </w:rPr>
              <w:t>Application by Trustee of Funds Deposited for Payment of Securities</w:t>
            </w:r>
          </w:p>
        </w:tc>
        <w:tc>
          <w:tcPr>
            <w:tcW w:w="214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48"/>
        </w:trPr>
        <w:tc>
          <w:tcPr>
            <w:tcW w:w="1460" w:type="dxa"/>
            <w:vAlign w:val="bottom"/>
            <w:gridSpan w:val="2"/>
          </w:tcPr>
          <w:p>
            <w:pPr>
              <w:ind w:left="420"/>
              <w:spacing w:after="0"/>
              <w:rPr>
                <w:sz w:val="20"/>
                <w:szCs w:val="20"/>
                <w:color w:val="auto"/>
              </w:rPr>
            </w:pPr>
            <w:r>
              <w:rPr>
                <w:rFonts w:ascii="Arial" w:cs="Arial" w:eastAsia="Arial" w:hAnsi="Arial"/>
                <w:sz w:val="17"/>
                <w:szCs w:val="17"/>
                <w:color w:val="auto"/>
                <w:w w:val="98"/>
              </w:rPr>
              <w:t>Section 10.03</w:t>
            </w:r>
          </w:p>
        </w:tc>
        <w:tc>
          <w:tcPr>
            <w:tcW w:w="7640" w:type="dxa"/>
            <w:vAlign w:val="bottom"/>
          </w:tcPr>
          <w:p>
            <w:pPr>
              <w:ind w:left="100"/>
              <w:spacing w:after="0"/>
              <w:rPr>
                <w:sz w:val="20"/>
                <w:szCs w:val="20"/>
                <w:color w:val="auto"/>
              </w:rPr>
            </w:pPr>
            <w:r>
              <w:rPr>
                <w:rFonts w:ascii="Arial" w:cs="Arial" w:eastAsia="Arial" w:hAnsi="Arial"/>
                <w:sz w:val="17"/>
                <w:szCs w:val="17"/>
                <w:color w:val="auto"/>
              </w:rPr>
              <w:t>Repayment of Moneys Held by Paying Agent</w:t>
            </w:r>
          </w:p>
        </w:tc>
        <w:tc>
          <w:tcPr>
            <w:tcW w:w="214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48"/>
        </w:trPr>
        <w:tc>
          <w:tcPr>
            <w:tcW w:w="1460" w:type="dxa"/>
            <w:vAlign w:val="bottom"/>
            <w:gridSpan w:val="2"/>
          </w:tcPr>
          <w:p>
            <w:pPr>
              <w:ind w:left="420"/>
              <w:spacing w:after="0"/>
              <w:rPr>
                <w:sz w:val="20"/>
                <w:szCs w:val="20"/>
                <w:color w:val="auto"/>
              </w:rPr>
            </w:pPr>
            <w:r>
              <w:rPr>
                <w:rFonts w:ascii="Arial" w:cs="Arial" w:eastAsia="Arial" w:hAnsi="Arial"/>
                <w:sz w:val="17"/>
                <w:szCs w:val="17"/>
                <w:color w:val="auto"/>
                <w:w w:val="98"/>
              </w:rPr>
              <w:t>Section 10.04</w:t>
            </w:r>
          </w:p>
        </w:tc>
        <w:tc>
          <w:tcPr>
            <w:tcW w:w="7640" w:type="dxa"/>
            <w:vAlign w:val="bottom"/>
          </w:tcPr>
          <w:p>
            <w:pPr>
              <w:ind w:left="100"/>
              <w:spacing w:after="0"/>
              <w:rPr>
                <w:sz w:val="20"/>
                <w:szCs w:val="20"/>
                <w:color w:val="auto"/>
              </w:rPr>
            </w:pPr>
            <w:r>
              <w:rPr>
                <w:rFonts w:ascii="Arial" w:cs="Arial" w:eastAsia="Arial" w:hAnsi="Arial"/>
                <w:sz w:val="17"/>
                <w:szCs w:val="17"/>
                <w:color w:val="auto"/>
              </w:rPr>
              <w:t>Return of Moneys Held by Trustee and Paying Agent Unclaimed for Two Years</w:t>
            </w:r>
          </w:p>
        </w:tc>
        <w:tc>
          <w:tcPr>
            <w:tcW w:w="214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48"/>
        </w:trPr>
        <w:tc>
          <w:tcPr>
            <w:tcW w:w="1460" w:type="dxa"/>
            <w:vAlign w:val="bottom"/>
            <w:gridSpan w:val="2"/>
          </w:tcPr>
          <w:p>
            <w:pPr>
              <w:ind w:left="420"/>
              <w:spacing w:after="0"/>
              <w:rPr>
                <w:sz w:val="20"/>
                <w:szCs w:val="20"/>
                <w:color w:val="auto"/>
              </w:rPr>
            </w:pPr>
            <w:r>
              <w:rPr>
                <w:rFonts w:ascii="Arial" w:cs="Arial" w:eastAsia="Arial" w:hAnsi="Arial"/>
                <w:sz w:val="17"/>
                <w:szCs w:val="17"/>
                <w:color w:val="auto"/>
                <w:w w:val="98"/>
              </w:rPr>
              <w:t>Section 10.05</w:t>
            </w:r>
          </w:p>
        </w:tc>
        <w:tc>
          <w:tcPr>
            <w:tcW w:w="7640" w:type="dxa"/>
            <w:vAlign w:val="bottom"/>
          </w:tcPr>
          <w:p>
            <w:pPr>
              <w:ind w:left="100"/>
              <w:spacing w:after="0"/>
              <w:rPr>
                <w:sz w:val="20"/>
                <w:szCs w:val="20"/>
                <w:color w:val="auto"/>
              </w:rPr>
            </w:pPr>
            <w:r>
              <w:rPr>
                <w:rFonts w:ascii="Arial" w:cs="Arial" w:eastAsia="Arial" w:hAnsi="Arial"/>
                <w:sz w:val="17"/>
                <w:szCs w:val="17"/>
                <w:color w:val="auto"/>
              </w:rPr>
              <w:t>Indemnity for U.S. Government Obligations and Foreign Government Obligations</w:t>
            </w:r>
          </w:p>
        </w:tc>
        <w:tc>
          <w:tcPr>
            <w:tcW w:w="214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422"/>
        </w:trPr>
        <w:tc>
          <w:tcPr>
            <w:tcW w:w="1060" w:type="dxa"/>
            <w:vAlign w:val="bottom"/>
          </w:tcPr>
          <w:p>
            <w:pPr>
              <w:spacing w:after="0"/>
              <w:rPr>
                <w:sz w:val="20"/>
                <w:szCs w:val="20"/>
                <w:color w:val="auto"/>
              </w:rPr>
            </w:pPr>
            <w:r>
              <w:rPr>
                <w:rFonts w:ascii="Arial" w:cs="Arial" w:eastAsia="Arial" w:hAnsi="Arial"/>
                <w:sz w:val="17"/>
                <w:szCs w:val="17"/>
                <w:color w:val="auto"/>
              </w:rPr>
              <w:t>ARTICLE 11</w:t>
            </w:r>
          </w:p>
        </w:tc>
        <w:tc>
          <w:tcPr>
            <w:tcW w:w="8040" w:type="dxa"/>
            <w:vAlign w:val="bottom"/>
            <w:gridSpan w:val="2"/>
          </w:tcPr>
          <w:p>
            <w:pPr>
              <w:ind w:left="160"/>
              <w:spacing w:after="0"/>
              <w:rPr>
                <w:sz w:val="20"/>
                <w:szCs w:val="20"/>
                <w:color w:val="auto"/>
              </w:rPr>
            </w:pPr>
            <w:r>
              <w:rPr>
                <w:rFonts w:ascii="Arial" w:cs="Arial" w:eastAsia="Arial" w:hAnsi="Arial"/>
                <w:sz w:val="17"/>
                <w:szCs w:val="17"/>
                <w:color w:val="auto"/>
              </w:rPr>
              <w:t>MISCELLANEOUS PROVISIONS</w:t>
            </w:r>
          </w:p>
        </w:tc>
        <w:tc>
          <w:tcPr>
            <w:tcW w:w="214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48"/>
        </w:trPr>
        <w:tc>
          <w:tcPr>
            <w:tcW w:w="1460" w:type="dxa"/>
            <w:vAlign w:val="bottom"/>
            <w:gridSpan w:val="2"/>
          </w:tcPr>
          <w:p>
            <w:pPr>
              <w:ind w:left="440"/>
              <w:spacing w:after="0"/>
              <w:rPr>
                <w:sz w:val="20"/>
                <w:szCs w:val="20"/>
                <w:color w:val="auto"/>
              </w:rPr>
            </w:pPr>
            <w:r>
              <w:rPr>
                <w:rFonts w:ascii="Arial" w:cs="Arial" w:eastAsia="Arial" w:hAnsi="Arial"/>
                <w:sz w:val="17"/>
                <w:szCs w:val="17"/>
                <w:color w:val="auto"/>
                <w:w w:val="96"/>
              </w:rPr>
              <w:t>Section 11.01</w:t>
            </w:r>
          </w:p>
        </w:tc>
        <w:tc>
          <w:tcPr>
            <w:tcW w:w="7640" w:type="dxa"/>
            <w:vAlign w:val="bottom"/>
          </w:tcPr>
          <w:p>
            <w:pPr>
              <w:ind w:left="100"/>
              <w:spacing w:after="0"/>
              <w:rPr>
                <w:sz w:val="20"/>
                <w:szCs w:val="20"/>
                <w:color w:val="auto"/>
              </w:rPr>
            </w:pPr>
            <w:r>
              <w:rPr>
                <w:rFonts w:ascii="Arial" w:cs="Arial" w:eastAsia="Arial" w:hAnsi="Arial"/>
                <w:sz w:val="17"/>
                <w:szCs w:val="17"/>
                <w:color w:val="auto"/>
              </w:rPr>
              <w:t>No Recourse</w:t>
            </w:r>
          </w:p>
        </w:tc>
        <w:tc>
          <w:tcPr>
            <w:tcW w:w="214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48"/>
        </w:trPr>
        <w:tc>
          <w:tcPr>
            <w:tcW w:w="9100" w:type="dxa"/>
            <w:vAlign w:val="bottom"/>
            <w:gridSpan w:val="3"/>
          </w:tcPr>
          <w:p>
            <w:pPr>
              <w:ind w:left="440"/>
              <w:spacing w:after="0"/>
              <w:rPr>
                <w:sz w:val="20"/>
                <w:szCs w:val="20"/>
                <w:color w:val="auto"/>
              </w:rPr>
            </w:pPr>
            <w:r>
              <w:rPr>
                <w:rFonts w:ascii="Arial" w:cs="Arial" w:eastAsia="Arial" w:hAnsi="Arial"/>
                <w:sz w:val="17"/>
                <w:szCs w:val="17"/>
                <w:color w:val="auto"/>
              </w:rPr>
              <w:t>Section 11.02   Provisions of Indenture for the Sole Benefit of Parties and Holders of Securities</w:t>
            </w:r>
          </w:p>
        </w:tc>
        <w:tc>
          <w:tcPr>
            <w:tcW w:w="214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48"/>
        </w:trPr>
        <w:tc>
          <w:tcPr>
            <w:tcW w:w="9100" w:type="dxa"/>
            <w:vAlign w:val="bottom"/>
            <w:gridSpan w:val="3"/>
          </w:tcPr>
          <w:p>
            <w:pPr>
              <w:ind w:left="440"/>
              <w:spacing w:after="0"/>
              <w:rPr>
                <w:sz w:val="20"/>
                <w:szCs w:val="20"/>
                <w:color w:val="auto"/>
              </w:rPr>
            </w:pPr>
            <w:r>
              <w:rPr>
                <w:rFonts w:ascii="Arial" w:cs="Arial" w:eastAsia="Arial" w:hAnsi="Arial"/>
                <w:sz w:val="17"/>
                <w:szCs w:val="17"/>
                <w:color w:val="auto"/>
              </w:rPr>
              <w:t>Section 11.03   Successors and Assigns of Issuer Bound by Indenture</w:t>
            </w:r>
          </w:p>
        </w:tc>
        <w:tc>
          <w:tcPr>
            <w:tcW w:w="214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48"/>
        </w:trPr>
        <w:tc>
          <w:tcPr>
            <w:tcW w:w="9100" w:type="dxa"/>
            <w:vAlign w:val="bottom"/>
            <w:gridSpan w:val="3"/>
          </w:tcPr>
          <w:p>
            <w:pPr>
              <w:ind w:left="440"/>
              <w:spacing w:after="0"/>
              <w:rPr>
                <w:sz w:val="20"/>
                <w:szCs w:val="20"/>
                <w:color w:val="auto"/>
              </w:rPr>
            </w:pPr>
            <w:r>
              <w:rPr>
                <w:rFonts w:ascii="Arial" w:cs="Arial" w:eastAsia="Arial" w:hAnsi="Arial"/>
                <w:sz w:val="17"/>
                <w:szCs w:val="17"/>
                <w:color w:val="auto"/>
              </w:rPr>
              <w:t>Section 11.04   Notices and Demands on Issuer, Trustee and Holders of Securities</w:t>
            </w:r>
          </w:p>
        </w:tc>
        <w:tc>
          <w:tcPr>
            <w:tcW w:w="214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48"/>
        </w:trPr>
        <w:tc>
          <w:tcPr>
            <w:tcW w:w="9100" w:type="dxa"/>
            <w:vAlign w:val="bottom"/>
            <w:gridSpan w:val="3"/>
          </w:tcPr>
          <w:p>
            <w:pPr>
              <w:ind w:left="440"/>
              <w:spacing w:after="0"/>
              <w:rPr>
                <w:sz w:val="20"/>
                <w:szCs w:val="20"/>
                <w:color w:val="auto"/>
              </w:rPr>
            </w:pPr>
            <w:r>
              <w:rPr>
                <w:rFonts w:ascii="Arial" w:cs="Arial" w:eastAsia="Arial" w:hAnsi="Arial"/>
                <w:sz w:val="17"/>
                <w:szCs w:val="17"/>
                <w:color w:val="auto"/>
              </w:rPr>
              <w:t>Section 11.05   Officer’s Certificates and Opinions of Counsel; Statements to Be Contained Therein</w:t>
            </w:r>
          </w:p>
        </w:tc>
        <w:tc>
          <w:tcPr>
            <w:tcW w:w="214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48"/>
        </w:trPr>
        <w:tc>
          <w:tcPr>
            <w:tcW w:w="9100" w:type="dxa"/>
            <w:vAlign w:val="bottom"/>
            <w:gridSpan w:val="3"/>
          </w:tcPr>
          <w:p>
            <w:pPr>
              <w:ind w:left="440"/>
              <w:spacing w:after="0"/>
              <w:rPr>
                <w:sz w:val="20"/>
                <w:szCs w:val="20"/>
                <w:color w:val="auto"/>
              </w:rPr>
            </w:pPr>
            <w:r>
              <w:rPr>
                <w:rFonts w:ascii="Arial" w:cs="Arial" w:eastAsia="Arial" w:hAnsi="Arial"/>
                <w:sz w:val="17"/>
                <w:szCs w:val="17"/>
                <w:color w:val="auto"/>
              </w:rPr>
              <w:t>Section 11.06   Payments Due on Saturdays, Sundays and Holidays</w:t>
            </w:r>
          </w:p>
        </w:tc>
        <w:tc>
          <w:tcPr>
            <w:tcW w:w="214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48"/>
        </w:trPr>
        <w:tc>
          <w:tcPr>
            <w:tcW w:w="9100" w:type="dxa"/>
            <w:vAlign w:val="bottom"/>
            <w:gridSpan w:val="3"/>
          </w:tcPr>
          <w:p>
            <w:pPr>
              <w:ind w:left="440"/>
              <w:spacing w:after="0"/>
              <w:rPr>
                <w:sz w:val="20"/>
                <w:szCs w:val="20"/>
                <w:color w:val="auto"/>
              </w:rPr>
            </w:pPr>
            <w:r>
              <w:rPr>
                <w:rFonts w:ascii="Arial" w:cs="Arial" w:eastAsia="Arial" w:hAnsi="Arial"/>
                <w:sz w:val="17"/>
                <w:szCs w:val="17"/>
                <w:color w:val="auto"/>
              </w:rPr>
              <w:t>Section 11.07   Conflict of Any Provision of Indenture With Trust Indenture Act of 1939</w:t>
            </w:r>
          </w:p>
        </w:tc>
        <w:tc>
          <w:tcPr>
            <w:tcW w:w="214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48"/>
        </w:trPr>
        <w:tc>
          <w:tcPr>
            <w:tcW w:w="9100" w:type="dxa"/>
            <w:vAlign w:val="bottom"/>
            <w:gridSpan w:val="3"/>
          </w:tcPr>
          <w:p>
            <w:pPr>
              <w:ind w:left="440"/>
              <w:spacing w:after="0"/>
              <w:rPr>
                <w:sz w:val="20"/>
                <w:szCs w:val="20"/>
                <w:color w:val="auto"/>
              </w:rPr>
            </w:pPr>
            <w:r>
              <w:rPr>
                <w:rFonts w:ascii="Arial" w:cs="Arial" w:eastAsia="Arial" w:hAnsi="Arial"/>
                <w:sz w:val="17"/>
                <w:szCs w:val="17"/>
                <w:color w:val="auto"/>
              </w:rPr>
              <w:t>Section 11.08   New York Law to Govern</w:t>
            </w:r>
          </w:p>
        </w:tc>
        <w:tc>
          <w:tcPr>
            <w:tcW w:w="214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48"/>
        </w:trPr>
        <w:tc>
          <w:tcPr>
            <w:tcW w:w="1460" w:type="dxa"/>
            <w:vAlign w:val="bottom"/>
            <w:gridSpan w:val="2"/>
          </w:tcPr>
          <w:p>
            <w:pPr>
              <w:ind w:left="440"/>
              <w:spacing w:after="0"/>
              <w:rPr>
                <w:sz w:val="20"/>
                <w:szCs w:val="20"/>
                <w:color w:val="auto"/>
              </w:rPr>
            </w:pPr>
            <w:r>
              <w:rPr>
                <w:rFonts w:ascii="Arial" w:cs="Arial" w:eastAsia="Arial" w:hAnsi="Arial"/>
                <w:sz w:val="17"/>
                <w:szCs w:val="17"/>
                <w:color w:val="auto"/>
                <w:w w:val="96"/>
              </w:rPr>
              <w:t>Section 11.09</w:t>
            </w:r>
          </w:p>
        </w:tc>
        <w:tc>
          <w:tcPr>
            <w:tcW w:w="7640" w:type="dxa"/>
            <w:vAlign w:val="bottom"/>
          </w:tcPr>
          <w:p>
            <w:pPr>
              <w:ind w:left="100"/>
              <w:spacing w:after="0"/>
              <w:rPr>
                <w:sz w:val="20"/>
                <w:szCs w:val="20"/>
                <w:color w:val="auto"/>
              </w:rPr>
            </w:pPr>
            <w:r>
              <w:rPr>
                <w:rFonts w:ascii="Arial" w:cs="Arial" w:eastAsia="Arial" w:hAnsi="Arial"/>
                <w:sz w:val="17"/>
                <w:szCs w:val="17"/>
                <w:color w:val="auto"/>
              </w:rPr>
              <w:t>Counterparts</w:t>
            </w:r>
          </w:p>
        </w:tc>
        <w:tc>
          <w:tcPr>
            <w:tcW w:w="214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48"/>
        </w:trPr>
        <w:tc>
          <w:tcPr>
            <w:tcW w:w="9100" w:type="dxa"/>
            <w:vAlign w:val="bottom"/>
            <w:gridSpan w:val="3"/>
          </w:tcPr>
          <w:p>
            <w:pPr>
              <w:ind w:left="440"/>
              <w:spacing w:after="0"/>
              <w:rPr>
                <w:sz w:val="20"/>
                <w:szCs w:val="20"/>
                <w:color w:val="auto"/>
              </w:rPr>
            </w:pPr>
            <w:r>
              <w:rPr>
                <w:rFonts w:ascii="Arial" w:cs="Arial" w:eastAsia="Arial" w:hAnsi="Arial"/>
                <w:sz w:val="17"/>
                <w:szCs w:val="17"/>
                <w:color w:val="auto"/>
              </w:rPr>
              <w:t>Section 11.10   Effect of Headings</w:t>
            </w:r>
          </w:p>
        </w:tc>
        <w:tc>
          <w:tcPr>
            <w:tcW w:w="214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48"/>
        </w:trPr>
        <w:tc>
          <w:tcPr>
            <w:tcW w:w="1460" w:type="dxa"/>
            <w:vAlign w:val="bottom"/>
            <w:gridSpan w:val="2"/>
          </w:tcPr>
          <w:p>
            <w:pPr>
              <w:ind w:left="440"/>
              <w:spacing w:after="0"/>
              <w:rPr>
                <w:sz w:val="20"/>
                <w:szCs w:val="20"/>
                <w:color w:val="auto"/>
              </w:rPr>
            </w:pPr>
            <w:r>
              <w:rPr>
                <w:rFonts w:ascii="Arial" w:cs="Arial" w:eastAsia="Arial" w:hAnsi="Arial"/>
                <w:sz w:val="17"/>
                <w:szCs w:val="17"/>
                <w:color w:val="auto"/>
                <w:w w:val="96"/>
              </w:rPr>
              <w:t>Section 11.11</w:t>
            </w:r>
          </w:p>
        </w:tc>
        <w:tc>
          <w:tcPr>
            <w:tcW w:w="7640" w:type="dxa"/>
            <w:vAlign w:val="bottom"/>
          </w:tcPr>
          <w:p>
            <w:pPr>
              <w:ind w:left="100"/>
              <w:spacing w:after="0"/>
              <w:rPr>
                <w:sz w:val="20"/>
                <w:szCs w:val="20"/>
                <w:color w:val="auto"/>
              </w:rPr>
            </w:pPr>
            <w:r>
              <w:rPr>
                <w:rFonts w:ascii="Arial" w:cs="Arial" w:eastAsia="Arial" w:hAnsi="Arial"/>
                <w:sz w:val="17"/>
                <w:szCs w:val="17"/>
                <w:color w:val="auto"/>
              </w:rPr>
              <w:t>Actions by Successor</w:t>
            </w:r>
          </w:p>
        </w:tc>
        <w:tc>
          <w:tcPr>
            <w:tcW w:w="214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48"/>
        </w:trPr>
        <w:tc>
          <w:tcPr>
            <w:tcW w:w="1460" w:type="dxa"/>
            <w:vAlign w:val="bottom"/>
            <w:gridSpan w:val="2"/>
          </w:tcPr>
          <w:p>
            <w:pPr>
              <w:ind w:left="440"/>
              <w:spacing w:after="0"/>
              <w:rPr>
                <w:sz w:val="20"/>
                <w:szCs w:val="20"/>
                <w:color w:val="auto"/>
              </w:rPr>
            </w:pPr>
            <w:r>
              <w:rPr>
                <w:rFonts w:ascii="Arial" w:cs="Arial" w:eastAsia="Arial" w:hAnsi="Arial"/>
                <w:sz w:val="17"/>
                <w:szCs w:val="17"/>
                <w:color w:val="auto"/>
                <w:w w:val="96"/>
              </w:rPr>
              <w:t>Section 11.12</w:t>
            </w:r>
          </w:p>
        </w:tc>
        <w:tc>
          <w:tcPr>
            <w:tcW w:w="7640" w:type="dxa"/>
            <w:vAlign w:val="bottom"/>
          </w:tcPr>
          <w:p>
            <w:pPr>
              <w:ind w:left="100"/>
              <w:spacing w:after="0"/>
              <w:rPr>
                <w:sz w:val="20"/>
                <w:szCs w:val="20"/>
                <w:color w:val="auto"/>
              </w:rPr>
            </w:pPr>
            <w:r>
              <w:rPr>
                <w:rFonts w:ascii="Arial" w:cs="Arial" w:eastAsia="Arial" w:hAnsi="Arial"/>
                <w:sz w:val="17"/>
                <w:szCs w:val="17"/>
                <w:color w:val="auto"/>
              </w:rPr>
              <w:t>Severability</w:t>
            </w:r>
          </w:p>
        </w:tc>
        <w:tc>
          <w:tcPr>
            <w:tcW w:w="214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422"/>
        </w:trPr>
        <w:tc>
          <w:tcPr>
            <w:tcW w:w="1060" w:type="dxa"/>
            <w:vAlign w:val="bottom"/>
          </w:tcPr>
          <w:p>
            <w:pPr>
              <w:spacing w:after="0"/>
              <w:rPr>
                <w:sz w:val="20"/>
                <w:szCs w:val="20"/>
                <w:color w:val="auto"/>
              </w:rPr>
            </w:pPr>
            <w:r>
              <w:rPr>
                <w:rFonts w:ascii="Arial" w:cs="Arial" w:eastAsia="Arial" w:hAnsi="Arial"/>
                <w:sz w:val="17"/>
                <w:szCs w:val="17"/>
                <w:color w:val="auto"/>
              </w:rPr>
              <w:t>ARTICLE 12</w:t>
            </w:r>
          </w:p>
        </w:tc>
        <w:tc>
          <w:tcPr>
            <w:tcW w:w="8040" w:type="dxa"/>
            <w:vAlign w:val="bottom"/>
            <w:gridSpan w:val="2"/>
          </w:tcPr>
          <w:p>
            <w:pPr>
              <w:ind w:left="160"/>
              <w:spacing w:after="0"/>
              <w:rPr>
                <w:sz w:val="20"/>
                <w:szCs w:val="20"/>
                <w:color w:val="auto"/>
              </w:rPr>
            </w:pPr>
            <w:r>
              <w:rPr>
                <w:rFonts w:ascii="Arial" w:cs="Arial" w:eastAsia="Arial" w:hAnsi="Arial"/>
                <w:sz w:val="17"/>
                <w:szCs w:val="17"/>
                <w:color w:val="auto"/>
              </w:rPr>
              <w:t>REDEMPTION OF SECURITIES AND SINKING FUNDS</w:t>
            </w:r>
          </w:p>
        </w:tc>
        <w:tc>
          <w:tcPr>
            <w:tcW w:w="214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48"/>
        </w:trPr>
        <w:tc>
          <w:tcPr>
            <w:tcW w:w="1460" w:type="dxa"/>
            <w:vAlign w:val="bottom"/>
            <w:gridSpan w:val="2"/>
          </w:tcPr>
          <w:p>
            <w:pPr>
              <w:ind w:left="420"/>
              <w:spacing w:after="0"/>
              <w:rPr>
                <w:sz w:val="20"/>
                <w:szCs w:val="20"/>
                <w:color w:val="auto"/>
              </w:rPr>
            </w:pPr>
            <w:r>
              <w:rPr>
                <w:rFonts w:ascii="Arial" w:cs="Arial" w:eastAsia="Arial" w:hAnsi="Arial"/>
                <w:sz w:val="17"/>
                <w:szCs w:val="17"/>
                <w:color w:val="auto"/>
                <w:w w:val="98"/>
              </w:rPr>
              <w:t>Section 12.01</w:t>
            </w:r>
          </w:p>
        </w:tc>
        <w:tc>
          <w:tcPr>
            <w:tcW w:w="7640" w:type="dxa"/>
            <w:vAlign w:val="bottom"/>
          </w:tcPr>
          <w:p>
            <w:pPr>
              <w:ind w:left="100"/>
              <w:spacing w:after="0"/>
              <w:rPr>
                <w:sz w:val="20"/>
                <w:szCs w:val="20"/>
                <w:color w:val="auto"/>
              </w:rPr>
            </w:pPr>
            <w:r>
              <w:rPr>
                <w:rFonts w:ascii="Arial" w:cs="Arial" w:eastAsia="Arial" w:hAnsi="Arial"/>
                <w:sz w:val="17"/>
                <w:szCs w:val="17"/>
                <w:color w:val="auto"/>
              </w:rPr>
              <w:t>Applicability of Article</w:t>
            </w:r>
          </w:p>
        </w:tc>
        <w:tc>
          <w:tcPr>
            <w:tcW w:w="214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48"/>
        </w:trPr>
        <w:tc>
          <w:tcPr>
            <w:tcW w:w="1460" w:type="dxa"/>
            <w:vAlign w:val="bottom"/>
            <w:gridSpan w:val="2"/>
          </w:tcPr>
          <w:p>
            <w:pPr>
              <w:ind w:left="420"/>
              <w:spacing w:after="0"/>
              <w:rPr>
                <w:sz w:val="20"/>
                <w:szCs w:val="20"/>
                <w:color w:val="auto"/>
              </w:rPr>
            </w:pPr>
            <w:r>
              <w:rPr>
                <w:rFonts w:ascii="Arial" w:cs="Arial" w:eastAsia="Arial" w:hAnsi="Arial"/>
                <w:sz w:val="17"/>
                <w:szCs w:val="17"/>
                <w:color w:val="auto"/>
                <w:w w:val="98"/>
              </w:rPr>
              <w:t>Section 12.02</w:t>
            </w:r>
          </w:p>
        </w:tc>
        <w:tc>
          <w:tcPr>
            <w:tcW w:w="7640" w:type="dxa"/>
            <w:vAlign w:val="bottom"/>
          </w:tcPr>
          <w:p>
            <w:pPr>
              <w:ind w:left="100"/>
              <w:spacing w:after="0"/>
              <w:rPr>
                <w:sz w:val="20"/>
                <w:szCs w:val="20"/>
                <w:color w:val="auto"/>
              </w:rPr>
            </w:pPr>
            <w:r>
              <w:rPr>
                <w:rFonts w:ascii="Arial" w:cs="Arial" w:eastAsia="Arial" w:hAnsi="Arial"/>
                <w:sz w:val="17"/>
                <w:szCs w:val="17"/>
                <w:color w:val="auto"/>
              </w:rPr>
              <w:t>Notice of Redemption; Partial Redemptions</w:t>
            </w:r>
          </w:p>
        </w:tc>
        <w:tc>
          <w:tcPr>
            <w:tcW w:w="214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48"/>
        </w:trPr>
        <w:tc>
          <w:tcPr>
            <w:tcW w:w="1460" w:type="dxa"/>
            <w:vAlign w:val="bottom"/>
            <w:gridSpan w:val="2"/>
          </w:tcPr>
          <w:p>
            <w:pPr>
              <w:ind w:left="420"/>
              <w:spacing w:after="0"/>
              <w:rPr>
                <w:sz w:val="20"/>
                <w:szCs w:val="20"/>
                <w:color w:val="auto"/>
              </w:rPr>
            </w:pPr>
            <w:r>
              <w:rPr>
                <w:rFonts w:ascii="Arial" w:cs="Arial" w:eastAsia="Arial" w:hAnsi="Arial"/>
                <w:sz w:val="17"/>
                <w:szCs w:val="17"/>
                <w:color w:val="auto"/>
                <w:w w:val="98"/>
              </w:rPr>
              <w:t>Section 12.03</w:t>
            </w:r>
          </w:p>
        </w:tc>
        <w:tc>
          <w:tcPr>
            <w:tcW w:w="7640" w:type="dxa"/>
            <w:vAlign w:val="bottom"/>
          </w:tcPr>
          <w:p>
            <w:pPr>
              <w:ind w:left="100"/>
              <w:spacing w:after="0"/>
              <w:rPr>
                <w:sz w:val="20"/>
                <w:szCs w:val="20"/>
                <w:color w:val="auto"/>
              </w:rPr>
            </w:pPr>
            <w:r>
              <w:rPr>
                <w:rFonts w:ascii="Arial" w:cs="Arial" w:eastAsia="Arial" w:hAnsi="Arial"/>
                <w:sz w:val="17"/>
                <w:szCs w:val="17"/>
                <w:color w:val="auto"/>
              </w:rPr>
              <w:t>Payment of Securities Called for Redemption</w:t>
            </w:r>
          </w:p>
        </w:tc>
        <w:tc>
          <w:tcPr>
            <w:tcW w:w="214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48"/>
        </w:trPr>
        <w:tc>
          <w:tcPr>
            <w:tcW w:w="1460" w:type="dxa"/>
            <w:vAlign w:val="bottom"/>
            <w:gridSpan w:val="2"/>
          </w:tcPr>
          <w:p>
            <w:pPr>
              <w:ind w:left="420"/>
              <w:spacing w:after="0"/>
              <w:rPr>
                <w:sz w:val="20"/>
                <w:szCs w:val="20"/>
                <w:color w:val="auto"/>
              </w:rPr>
            </w:pPr>
            <w:r>
              <w:rPr>
                <w:rFonts w:ascii="Arial" w:cs="Arial" w:eastAsia="Arial" w:hAnsi="Arial"/>
                <w:sz w:val="17"/>
                <w:szCs w:val="17"/>
                <w:color w:val="auto"/>
                <w:w w:val="98"/>
              </w:rPr>
              <w:t>Section 12.04</w:t>
            </w:r>
          </w:p>
        </w:tc>
        <w:tc>
          <w:tcPr>
            <w:tcW w:w="7640" w:type="dxa"/>
            <w:vAlign w:val="bottom"/>
          </w:tcPr>
          <w:p>
            <w:pPr>
              <w:ind w:left="100"/>
              <w:spacing w:after="0"/>
              <w:rPr>
                <w:sz w:val="20"/>
                <w:szCs w:val="20"/>
                <w:color w:val="auto"/>
              </w:rPr>
            </w:pPr>
            <w:r>
              <w:rPr>
                <w:rFonts w:ascii="Arial" w:cs="Arial" w:eastAsia="Arial" w:hAnsi="Arial"/>
                <w:sz w:val="17"/>
                <w:szCs w:val="17"/>
                <w:color w:val="auto"/>
              </w:rPr>
              <w:t>Exclusion of Certain Securities from Eligibility for Selection for Redemption</w:t>
            </w:r>
          </w:p>
        </w:tc>
        <w:tc>
          <w:tcPr>
            <w:tcW w:w="214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48"/>
        </w:trPr>
        <w:tc>
          <w:tcPr>
            <w:tcW w:w="1460" w:type="dxa"/>
            <w:vAlign w:val="bottom"/>
            <w:gridSpan w:val="2"/>
          </w:tcPr>
          <w:p>
            <w:pPr>
              <w:ind w:left="420"/>
              <w:spacing w:after="0"/>
              <w:rPr>
                <w:sz w:val="20"/>
                <w:szCs w:val="20"/>
                <w:color w:val="auto"/>
              </w:rPr>
            </w:pPr>
            <w:r>
              <w:rPr>
                <w:rFonts w:ascii="Arial" w:cs="Arial" w:eastAsia="Arial" w:hAnsi="Arial"/>
                <w:sz w:val="17"/>
                <w:szCs w:val="17"/>
                <w:color w:val="auto"/>
                <w:w w:val="98"/>
              </w:rPr>
              <w:t>Section 12.05</w:t>
            </w:r>
          </w:p>
        </w:tc>
        <w:tc>
          <w:tcPr>
            <w:tcW w:w="7640" w:type="dxa"/>
            <w:vAlign w:val="bottom"/>
          </w:tcPr>
          <w:p>
            <w:pPr>
              <w:ind w:left="100"/>
              <w:spacing w:after="0"/>
              <w:rPr>
                <w:sz w:val="20"/>
                <w:szCs w:val="20"/>
                <w:color w:val="auto"/>
              </w:rPr>
            </w:pPr>
            <w:r>
              <w:rPr>
                <w:rFonts w:ascii="Arial" w:cs="Arial" w:eastAsia="Arial" w:hAnsi="Arial"/>
                <w:sz w:val="17"/>
                <w:szCs w:val="17"/>
                <w:color w:val="auto"/>
              </w:rPr>
              <w:t>Mandatory and Optional Sinking Funds</w:t>
            </w:r>
          </w:p>
        </w:tc>
        <w:tc>
          <w:tcPr>
            <w:tcW w:w="2140" w:type="dxa"/>
            <w:vAlign w:val="bottom"/>
          </w:tcPr>
          <w:p>
            <w:pPr>
              <w:jc w:val="right"/>
              <w:spacing w:after="0"/>
              <w:rPr>
                <w:sz w:val="20"/>
                <w:szCs w:val="20"/>
                <w:color w:val="auto"/>
              </w:rPr>
            </w:pPr>
            <w:r>
              <w:rPr>
                <w:rFonts w:ascii="Arial" w:cs="Arial" w:eastAsia="Arial" w:hAnsi="Arial"/>
                <w:sz w:val="17"/>
                <w:szCs w:val="17"/>
                <w:color w:val="auto"/>
              </w:rPr>
              <w:t>51</w:t>
            </w: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7">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921" w:right="339" w:bottom="1440" w:gutter="0" w:footer="0" w:header="0"/>
        </w:sectPr>
      </w:pPr>
    </w:p>
    <w:bookmarkStart w:id="48" w:name="page49"/>
    <w:bookmarkEnd w:id="48"/>
    <w:p>
      <w:pPr>
        <w:ind w:left="600"/>
        <w:spacing w:after="0"/>
        <w:rPr>
          <w:sz w:val="20"/>
          <w:szCs w:val="20"/>
          <w:color w:val="auto"/>
        </w:rPr>
      </w:pPr>
      <w:r>
        <w:rPr>
          <w:rFonts w:ascii="Arial" w:cs="Arial" w:eastAsia="Arial" w:hAnsi="Arial"/>
          <w:sz w:val="15"/>
          <w:szCs w:val="15"/>
          <w:color w:val="auto"/>
        </w:rPr>
        <w:t>THIS INDENTURE, dated as of _________between IVERIC bio, Inc., a Delaware corporation (the “</w:t>
      </w:r>
      <w:r>
        <w:rPr>
          <w:rFonts w:ascii="Arial" w:cs="Arial" w:eastAsia="Arial" w:hAnsi="Arial"/>
          <w:sz w:val="15"/>
          <w:szCs w:val="15"/>
          <w:b w:val="1"/>
          <w:bCs w:val="1"/>
          <w:color w:val="auto"/>
        </w:rPr>
        <w:t>Issuer</w:t>
      </w:r>
      <w:r>
        <w:rPr>
          <w:rFonts w:ascii="Arial" w:cs="Arial" w:eastAsia="Arial" w:hAnsi="Arial"/>
          <w:sz w:val="15"/>
          <w:szCs w:val="15"/>
          <w:color w:val="auto"/>
        </w:rPr>
        <w:t>”), and ________, a _______ (the “</w:t>
      </w:r>
      <w:r>
        <w:rPr>
          <w:rFonts w:ascii="Arial" w:cs="Arial" w:eastAsia="Arial" w:hAnsi="Arial"/>
          <w:sz w:val="15"/>
          <w:szCs w:val="15"/>
          <w:b w:val="1"/>
          <w:bCs w:val="1"/>
          <w:color w:val="auto"/>
        </w:rPr>
        <w:t>Trustee</w:t>
      </w:r>
      <w:r>
        <w:rPr>
          <w:rFonts w:ascii="Arial" w:cs="Arial" w:eastAsia="Arial" w:hAnsi="Arial"/>
          <w:sz w:val="15"/>
          <w:szCs w:val="15"/>
          <w:color w:val="auto"/>
        </w:rPr>
        <w: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 I T N E S S E T H :</w:t>
      </w:r>
    </w:p>
    <w:p>
      <w:pPr>
        <w:spacing w:after="0" w:line="201" w:lineRule="exact"/>
        <w:rPr>
          <w:sz w:val="20"/>
          <w:szCs w:val="20"/>
          <w:color w:val="auto"/>
        </w:rPr>
      </w:pPr>
    </w:p>
    <w:p>
      <w:pPr>
        <w:ind w:right="120" w:firstLine="595"/>
        <w:spacing w:after="0" w:line="327" w:lineRule="auto"/>
        <w:rPr>
          <w:sz w:val="20"/>
          <w:szCs w:val="20"/>
          <w:color w:val="auto"/>
        </w:rPr>
      </w:pPr>
      <w:r>
        <w:rPr>
          <w:rFonts w:ascii="Arial" w:cs="Arial" w:eastAsia="Arial" w:hAnsi="Arial"/>
          <w:sz w:val="15"/>
          <w:szCs w:val="15"/>
          <w:color w:val="auto"/>
        </w:rPr>
        <w:t>WHEREAS, the Issuer may from time to time duly authorize the issue of its unsecured debentures, notes or other evidences of indebtedness to be issued in one or more series (the “</w:t>
      </w:r>
      <w:r>
        <w:rPr>
          <w:rFonts w:ascii="Arial" w:cs="Arial" w:eastAsia="Arial" w:hAnsi="Arial"/>
          <w:sz w:val="15"/>
          <w:szCs w:val="15"/>
          <w:b w:val="1"/>
          <w:bCs w:val="1"/>
          <w:color w:val="auto"/>
        </w:rPr>
        <w:t>Securities</w:t>
      </w:r>
      <w:r>
        <w:rPr>
          <w:rFonts w:ascii="Arial" w:cs="Arial" w:eastAsia="Arial" w:hAnsi="Arial"/>
          <w:sz w:val="15"/>
          <w:szCs w:val="15"/>
          <w:color w:val="auto"/>
        </w:rPr>
        <w:t>”) up to such principal amount or amounts as may from time to time be authorized in accordance with the terms of this Indenture;</w:t>
      </w:r>
    </w:p>
    <w:p>
      <w:pPr>
        <w:spacing w:after="0" w:line="125" w:lineRule="exact"/>
        <w:rPr>
          <w:sz w:val="20"/>
          <w:szCs w:val="20"/>
          <w:color w:val="auto"/>
        </w:rPr>
      </w:pPr>
    </w:p>
    <w:p>
      <w:pPr>
        <w:ind w:right="380" w:firstLine="595"/>
        <w:spacing w:after="0" w:line="260" w:lineRule="auto"/>
        <w:rPr>
          <w:sz w:val="20"/>
          <w:szCs w:val="20"/>
          <w:color w:val="auto"/>
        </w:rPr>
      </w:pPr>
      <w:r>
        <w:rPr>
          <w:rFonts w:ascii="Arial" w:cs="Arial" w:eastAsia="Arial" w:hAnsi="Arial"/>
          <w:sz w:val="17"/>
          <w:szCs w:val="17"/>
          <w:color w:val="auto"/>
        </w:rPr>
        <w:t>WHEREAS, the Issuer has duly authorized the execution and delivery of this Indenture to provide, among other things, for the authentication, delivery and administration of the Securities; and</w:t>
      </w:r>
    </w:p>
    <w:p>
      <w:pPr>
        <w:spacing w:after="0" w:line="17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WHEREAS, all things necessary to make this Indenture a valid indenture and agreement according to its terms have been done;</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NOW, THEREFORE:</w:t>
      </w:r>
    </w:p>
    <w:p>
      <w:pPr>
        <w:spacing w:after="0" w:line="201" w:lineRule="exact"/>
        <w:rPr>
          <w:sz w:val="20"/>
          <w:szCs w:val="20"/>
          <w:color w:val="auto"/>
        </w:rPr>
      </w:pPr>
    </w:p>
    <w:p>
      <w:pPr>
        <w:ind w:right="100" w:firstLine="595"/>
        <w:spacing w:after="0" w:line="260" w:lineRule="auto"/>
        <w:rPr>
          <w:sz w:val="20"/>
          <w:szCs w:val="20"/>
          <w:color w:val="auto"/>
        </w:rPr>
      </w:pPr>
      <w:r>
        <w:rPr>
          <w:rFonts w:ascii="Arial" w:cs="Arial" w:eastAsia="Arial" w:hAnsi="Arial"/>
          <w:sz w:val="17"/>
          <w:szCs w:val="17"/>
          <w:color w:val="auto"/>
        </w:rPr>
        <w:t>In consideration of the premises and the purchases of the Securities by the holders thereof, the Issuer and the Trustee mutually covenant and agree for the equal and proportionate benefit of the respective holders from time to time of the Securities as follows: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DEFINITIONS</w:t>
      </w:r>
    </w:p>
    <w:p>
      <w:pPr>
        <w:spacing w:after="0" w:line="191" w:lineRule="exact"/>
        <w:rPr>
          <w:sz w:val="20"/>
          <w:szCs w:val="20"/>
          <w:color w:val="auto"/>
        </w:rPr>
      </w:pPr>
    </w:p>
    <w:p>
      <w:pPr>
        <w:ind w:firstLine="595"/>
        <w:spacing w:after="0" w:line="282" w:lineRule="auto"/>
        <w:rPr>
          <w:sz w:val="20"/>
          <w:szCs w:val="20"/>
          <w:color w:val="auto"/>
        </w:rPr>
      </w:pPr>
      <w:r>
        <w:rPr>
          <w:rFonts w:ascii="Arial" w:cs="Arial" w:eastAsia="Arial" w:hAnsi="Arial"/>
          <w:sz w:val="15"/>
          <w:szCs w:val="15"/>
          <w:color w:val="auto"/>
        </w:rPr>
        <w:t xml:space="preserve">Section 1.01 </w:t>
      </w:r>
      <w:r>
        <w:rPr>
          <w:rFonts w:ascii="Arial" w:cs="Arial" w:eastAsia="Arial" w:hAnsi="Arial"/>
          <w:sz w:val="15"/>
          <w:szCs w:val="15"/>
          <w:i w:val="1"/>
          <w:iCs w:val="1"/>
          <w:color w:val="auto"/>
        </w:rPr>
        <w:t>Certain Terms Defined.</w:t>
      </w:r>
      <w:r>
        <w:rPr>
          <w:rFonts w:ascii="Arial" w:cs="Arial" w:eastAsia="Arial" w:hAnsi="Arial"/>
          <w:sz w:val="15"/>
          <w:szCs w:val="15"/>
          <w:color w:val="auto"/>
        </w:rPr>
        <w:t xml:space="preserve"> The following terms (except as otherwise expressly provided or unless the context otherwise clearly requires) for all purposes of this Indenture and of any indenture supplemental hereto shall have the respective meanings specified in this Section. All other terms used in this Indenture that are defined in the Trust Indenture Act of 1939 or the definitions of which in the Securities Act of 1933, as amended are referred to in the Trust Indenture Act of 1939, including terms defined therein by reference to the Securities Act of 1933, as amended (except as herein otherwise expressly provided or unless the context otherwise clearly requires), shall have the meanings assigned to such terms in said Trust Indenture Act and in said Securities Act of 1933 as in force at the date of this Indenture. All accounting terms used herein and not expressly defined shall have the meanings assigned to such terms in accordance with generally accepted accounting principles, and the term “</w:t>
      </w:r>
      <w:r>
        <w:rPr>
          <w:rFonts w:ascii="Arial" w:cs="Arial" w:eastAsia="Arial" w:hAnsi="Arial"/>
          <w:sz w:val="15"/>
          <w:szCs w:val="15"/>
          <w:b w:val="1"/>
          <w:bCs w:val="1"/>
          <w:color w:val="auto"/>
        </w:rPr>
        <w:t>generally accepted accounting principles</w:t>
      </w:r>
      <w:r>
        <w:rPr>
          <w:rFonts w:ascii="Arial" w:cs="Arial" w:eastAsia="Arial" w:hAnsi="Arial"/>
          <w:sz w:val="15"/>
          <w:szCs w:val="15"/>
          <w:color w:val="auto"/>
        </w:rPr>
        <w:t>” means such accounting principles as are generally accepted in the United States at the time of any computation. The words “herein”, “hereof” and “hereunder” and other words of similar import refer to this Indenture as a whole and not to any particular Article, Section or other subdivision. The terms defined in this Article have the meanings assigned to them in this Article and include the plural as well as the singular.</w:t>
      </w:r>
    </w:p>
    <w:p>
      <w:pPr>
        <w:spacing w:after="0" w:line="156" w:lineRule="exact"/>
        <w:rPr>
          <w:sz w:val="20"/>
          <w:szCs w:val="20"/>
          <w:color w:val="auto"/>
        </w:rPr>
      </w:pPr>
    </w:p>
    <w:p>
      <w:pPr>
        <w:ind w:right="40" w:firstLine="595"/>
        <w:spacing w:after="0" w:line="373" w:lineRule="auto"/>
        <w:rPr>
          <w:sz w:val="20"/>
          <w:szCs w:val="20"/>
          <w:color w:val="auto"/>
        </w:rPr>
      </w:pPr>
      <w:r>
        <w:rPr>
          <w:rFonts w:ascii="Arial" w:cs="Arial" w:eastAsia="Arial" w:hAnsi="Arial"/>
          <w:sz w:val="14"/>
          <w:szCs w:val="14"/>
          <w:b w:val="1"/>
          <w:bCs w:val="1"/>
          <w:color w:val="auto"/>
        </w:rPr>
        <w:t xml:space="preserve">“Additional Amounts” </w:t>
      </w:r>
      <w:r>
        <w:rPr>
          <w:rFonts w:ascii="Arial" w:cs="Arial" w:eastAsia="Arial" w:hAnsi="Arial"/>
          <w:sz w:val="14"/>
          <w:szCs w:val="14"/>
          <w:color w:val="auto"/>
        </w:rPr>
        <w:t>means any additional amounts that are required by this Indenture or by any Security, under circumstances specified herein or therein, to</w:t>
      </w:r>
      <w:r>
        <w:rPr>
          <w:rFonts w:ascii="Arial" w:cs="Arial" w:eastAsia="Arial" w:hAnsi="Arial"/>
          <w:sz w:val="14"/>
          <w:szCs w:val="14"/>
          <w:b w:val="1"/>
          <w:bCs w:val="1"/>
          <w:color w:val="auto"/>
        </w:rPr>
        <w:t xml:space="preserve"> </w:t>
      </w:r>
      <w:r>
        <w:rPr>
          <w:rFonts w:ascii="Arial" w:cs="Arial" w:eastAsia="Arial" w:hAnsi="Arial"/>
          <w:sz w:val="14"/>
          <w:szCs w:val="14"/>
          <w:color w:val="auto"/>
        </w:rPr>
        <w:t>be paid by the Issuer in respect of certain taxes, assessments or other governmental charges imposed on Holders specified therein and which are owing to such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338455</wp:posOffset>
            </wp:positionV>
            <wp:extent cx="714375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8">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49" w:name="page50"/>
    <w:bookmarkEnd w:id="49"/>
    <w:p>
      <w:pPr>
        <w:ind w:right="420" w:firstLine="59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Procedures</w:t>
      </w:r>
      <w:r>
        <w:rPr>
          <w:rFonts w:ascii="Arial" w:cs="Arial" w:eastAsia="Arial" w:hAnsi="Arial"/>
          <w:sz w:val="17"/>
          <w:szCs w:val="17"/>
          <w:color w:val="auto"/>
        </w:rPr>
        <w:t>” means, with respect to a Depositary, as to any matter at any time, the policies and procedures of such Depositary, if any, that are applicable to such matter at such time.</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Board of Directors</w:t>
      </w:r>
      <w:r>
        <w:rPr>
          <w:rFonts w:ascii="Arial" w:cs="Arial" w:eastAsia="Arial" w:hAnsi="Arial"/>
          <w:sz w:val="17"/>
          <w:szCs w:val="17"/>
          <w:color w:val="auto"/>
        </w:rPr>
        <w:t>” means either the Board of Directors of the Issuer or any committee of such Board duly authorized to act on its behalf.</w:t>
      </w:r>
    </w:p>
    <w:p>
      <w:pPr>
        <w:spacing w:after="0" w:line="201" w:lineRule="exact"/>
        <w:rPr>
          <w:sz w:val="20"/>
          <w:szCs w:val="20"/>
          <w:color w:val="auto"/>
        </w:rPr>
      </w:pPr>
    </w:p>
    <w:p>
      <w:pPr>
        <w:ind w:right="120" w:firstLine="59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Board Resolution</w:t>
      </w:r>
      <w:r>
        <w:rPr>
          <w:rFonts w:ascii="Arial" w:cs="Arial" w:eastAsia="Arial" w:hAnsi="Arial"/>
          <w:sz w:val="17"/>
          <w:szCs w:val="17"/>
          <w:color w:val="auto"/>
        </w:rPr>
        <w:t>” means a copy of one or more resolutions, certified by the secretary or an assistant secretary of the Issuer to have been duly adopted by the Board of Directors and to be in full force and effect, and delivered to the Trustee.</w:t>
      </w:r>
    </w:p>
    <w:p>
      <w:pPr>
        <w:spacing w:after="0" w:line="164" w:lineRule="exact"/>
        <w:rPr>
          <w:sz w:val="20"/>
          <w:szCs w:val="20"/>
          <w:color w:val="auto"/>
        </w:rPr>
      </w:pPr>
    </w:p>
    <w:p>
      <w:pPr>
        <w:ind w:firstLine="59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means, with respect to any Security, a day that in the city (or in any of the cities, if more than one) in which amounts are payable, as specified in the form of such Security, is not a day on which banking institutions are authorized or required by law or regulation to close.</w:t>
      </w:r>
    </w:p>
    <w:p>
      <w:pPr>
        <w:spacing w:after="0" w:line="164" w:lineRule="exact"/>
        <w:rPr>
          <w:sz w:val="20"/>
          <w:szCs w:val="20"/>
          <w:color w:val="auto"/>
        </w:rPr>
      </w:pPr>
    </w:p>
    <w:p>
      <w:pPr>
        <w:ind w:right="120" w:firstLine="595"/>
        <w:spacing w:after="0" w:line="249" w:lineRule="auto"/>
        <w:rPr>
          <w:sz w:val="20"/>
          <w:szCs w:val="20"/>
          <w:color w:val="auto"/>
        </w:rPr>
      </w:pPr>
      <w:r>
        <w:rPr>
          <w:rFonts w:ascii="Arial" w:cs="Arial" w:eastAsia="Arial" w:hAnsi="Arial"/>
          <w:sz w:val="17"/>
          <w:szCs w:val="17"/>
          <w:b w:val="1"/>
          <w:bCs w:val="1"/>
          <w:color w:val="auto"/>
        </w:rPr>
        <w:t xml:space="preserve">“Capital Stock” </w:t>
      </w:r>
      <w:r>
        <w:rPr>
          <w:rFonts w:ascii="Arial" w:cs="Arial" w:eastAsia="Arial" w:hAnsi="Arial"/>
          <w:sz w:val="17"/>
          <w:szCs w:val="17"/>
          <w:color w:val="auto"/>
        </w:rPr>
        <w:t>means (a) in the case of a corporation, corporate stock; (b) in the case of an association or business entity, any and all shares, interests,</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77" w:lineRule="exact"/>
        <w:rPr>
          <w:sz w:val="20"/>
          <w:szCs w:val="20"/>
          <w:color w:val="auto"/>
        </w:rPr>
      </w:pPr>
    </w:p>
    <w:p>
      <w:pPr>
        <w:ind w:right="40" w:firstLine="595"/>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Commission</w:t>
      </w:r>
      <w:r>
        <w:rPr>
          <w:rFonts w:ascii="Arial" w:cs="Arial" w:eastAsia="Arial" w:hAnsi="Arial"/>
          <w:sz w:val="17"/>
          <w:szCs w:val="17"/>
          <w:color w:val="auto"/>
        </w:rPr>
        <w:t>” means the Securities and Exchange Commission, as from time to time constituted, created under the Securities Exchange Act of 1934, or if at any time after the execution and delivery of this Indenture such Commission is not existing and performing the duties now assigned to it under the Trust Indenture Act of 1939, then the body performing such duties on such date.</w:t>
      </w:r>
    </w:p>
    <w:p>
      <w:pPr>
        <w:spacing w:after="0" w:line="173" w:lineRule="exact"/>
        <w:rPr>
          <w:sz w:val="20"/>
          <w:szCs w:val="20"/>
          <w:color w:val="auto"/>
        </w:rPr>
      </w:pPr>
    </w:p>
    <w:p>
      <w:pPr>
        <w:ind w:right="440" w:firstLine="59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w:t>
      </w:r>
      <w:r>
        <w:rPr>
          <w:rFonts w:ascii="Arial" w:cs="Arial" w:eastAsia="Arial" w:hAnsi="Arial"/>
          <w:sz w:val="17"/>
          <w:szCs w:val="17"/>
          <w:color w:val="auto"/>
        </w:rPr>
        <w:t>” means shares of common stock, par value $0.001 per share, of the Issuer as the same exists at the date of execution and delivery of this Indenture or as such stock may be reconstituted from time to time.</w:t>
      </w:r>
    </w:p>
    <w:p>
      <w:pPr>
        <w:spacing w:after="0" w:line="164" w:lineRule="exact"/>
        <w:rPr>
          <w:sz w:val="20"/>
          <w:szCs w:val="20"/>
          <w:color w:val="auto"/>
        </w:rPr>
      </w:pPr>
    </w:p>
    <w:p>
      <w:pPr>
        <w:ind w:right="540" w:firstLine="59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Corporate Trust Office</w:t>
      </w:r>
      <w:r>
        <w:rPr>
          <w:rFonts w:ascii="Arial" w:cs="Arial" w:eastAsia="Arial" w:hAnsi="Arial"/>
          <w:sz w:val="17"/>
          <w:szCs w:val="17"/>
          <w:color w:val="auto"/>
        </w:rPr>
        <w:t>” means the office of the Trustee at which the corporate trust business of the Trustee shall, at any particular time, be principally administered, which office is, at the date as of which this Indenture is dated, located at __________.</w:t>
      </w:r>
    </w:p>
    <w:p>
      <w:pPr>
        <w:spacing w:after="0" w:line="164" w:lineRule="exact"/>
        <w:rPr>
          <w:sz w:val="20"/>
          <w:szCs w:val="20"/>
          <w:color w:val="auto"/>
        </w:rPr>
      </w:pPr>
    </w:p>
    <w:p>
      <w:pPr>
        <w:ind w:right="120" w:firstLine="595"/>
        <w:spacing w:after="0" w:line="28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Debt</w:t>
      </w:r>
      <w:r>
        <w:rPr>
          <w:rFonts w:ascii="Arial" w:cs="Arial" w:eastAsia="Arial" w:hAnsi="Arial"/>
          <w:sz w:val="15"/>
          <w:szCs w:val="15"/>
          <w:color w:val="auto"/>
        </w:rPr>
        <w:t>” of any Person means any debt for money borrowed which is created, assumed, incurred or guaranteed in any manner by such Person or for which such Person is otherwise responsible or liable, and shall expressly include any such guaranty thereof by such Person. For the purpose of computing the amount of the Debt of any Person there shall be excluded all Debt of such Person for the payment or redemption or satisfaction of which money or securities (or evidences of such Debt, if permitted under the terms of the instrument creating such Debt) in the necessary amount shall have been deposited in trust with the proper depositary, whether upon or prior to the maturity or the date fixed for redemption of such Debt; and, in any instance where Debt is so excluded, for the purpose of computing the assets of such Person there shall be excluded the money, securities or evidences of Debt deposited by such Person in trust for the purpose of paying or satisfying such Debt.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50" w:name="page51"/>
    <w:bookmarkEnd w:id="50"/>
    <w:p>
      <w:pPr>
        <w:ind w:right="200" w:firstLine="595"/>
        <w:spacing w:after="0" w:line="29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Depositary</w:t>
      </w:r>
      <w:r>
        <w:rPr>
          <w:rFonts w:ascii="Arial" w:cs="Arial" w:eastAsia="Arial" w:hAnsi="Arial"/>
          <w:sz w:val="15"/>
          <w:szCs w:val="15"/>
          <w:color w:val="auto"/>
        </w:rPr>
        <w:t>” means, with respect to the Securities of any series issuable or issued in the form of one or more Global Securities, the Person designated as Depositary by the Issuer pursuant to Section 2.04 until a successor Depositary shall have become such pursuant to the applicable provisions of this Indenture, and thereafter “</w:t>
      </w:r>
      <w:r>
        <w:rPr>
          <w:rFonts w:ascii="Arial" w:cs="Arial" w:eastAsia="Arial" w:hAnsi="Arial"/>
          <w:sz w:val="15"/>
          <w:szCs w:val="15"/>
          <w:b w:val="1"/>
          <w:bCs w:val="1"/>
          <w:color w:val="auto"/>
        </w:rPr>
        <w:t>Depositary</w:t>
      </w:r>
      <w:r>
        <w:rPr>
          <w:rFonts w:ascii="Arial" w:cs="Arial" w:eastAsia="Arial" w:hAnsi="Arial"/>
          <w:sz w:val="15"/>
          <w:szCs w:val="15"/>
          <w:color w:val="auto"/>
        </w:rPr>
        <w:t>” shall mean or include each Person who is then a Depositary hereunder, and if at any time there is more than one such Person, “</w:t>
      </w:r>
      <w:r>
        <w:rPr>
          <w:rFonts w:ascii="Arial" w:cs="Arial" w:eastAsia="Arial" w:hAnsi="Arial"/>
          <w:sz w:val="15"/>
          <w:szCs w:val="15"/>
          <w:b w:val="1"/>
          <w:bCs w:val="1"/>
          <w:color w:val="auto"/>
        </w:rPr>
        <w:t>Depositary</w:t>
      </w:r>
      <w:r>
        <w:rPr>
          <w:rFonts w:ascii="Arial" w:cs="Arial" w:eastAsia="Arial" w:hAnsi="Arial"/>
          <w:sz w:val="15"/>
          <w:szCs w:val="15"/>
          <w:color w:val="auto"/>
        </w:rPr>
        <w:t>” as used with respect to the Securities of any such series shall mean the Depositary with respect to the Global Securities of that series.</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Dollar</w:t>
      </w:r>
      <w:r>
        <w:rPr>
          <w:rFonts w:ascii="Arial" w:cs="Arial" w:eastAsia="Arial" w:hAnsi="Arial"/>
          <w:sz w:val="15"/>
          <w:szCs w:val="15"/>
          <w:color w:val="auto"/>
        </w:rPr>
        <w:t>” means the currency of the United States of America as at the time of payment is legal tender for the payment of public and private debts.</w:t>
      </w:r>
    </w:p>
    <w:p>
      <w:pPr>
        <w:spacing w:after="0" w:line="22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Event of Default</w:t>
      </w:r>
      <w:r>
        <w:rPr>
          <w:rFonts w:ascii="Arial" w:cs="Arial" w:eastAsia="Arial" w:hAnsi="Arial"/>
          <w:sz w:val="17"/>
          <w:szCs w:val="17"/>
          <w:color w:val="auto"/>
        </w:rPr>
        <w:t>” means any event or condition specified as such in Section 5.01.</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Foreign Currency</w:t>
      </w:r>
      <w:r>
        <w:rPr>
          <w:rFonts w:ascii="Arial" w:cs="Arial" w:eastAsia="Arial" w:hAnsi="Arial"/>
          <w:sz w:val="17"/>
          <w:szCs w:val="17"/>
          <w:color w:val="auto"/>
        </w:rPr>
        <w:t>” means a currency issued by the government of a country other than the United States.</w:t>
      </w:r>
    </w:p>
    <w:p>
      <w:pPr>
        <w:spacing w:after="0" w:line="201" w:lineRule="exact"/>
        <w:rPr>
          <w:sz w:val="20"/>
          <w:szCs w:val="20"/>
          <w:color w:val="auto"/>
        </w:rPr>
      </w:pPr>
    </w:p>
    <w:p>
      <w:pPr>
        <w:ind w:right="40" w:firstLine="595"/>
        <w:spacing w:after="0" w:line="284" w:lineRule="auto"/>
        <w:rPr>
          <w:sz w:val="20"/>
          <w:szCs w:val="20"/>
          <w:color w:val="auto"/>
        </w:rPr>
      </w:pPr>
      <w:r>
        <w:rPr>
          <w:rFonts w:ascii="Arial" w:cs="Arial" w:eastAsia="Arial" w:hAnsi="Arial"/>
          <w:sz w:val="15"/>
          <w:szCs w:val="15"/>
          <w:b w:val="1"/>
          <w:bCs w:val="1"/>
          <w:color w:val="auto"/>
        </w:rPr>
        <w:t xml:space="preserve">“Foreign Government Obligation” </w:t>
      </w:r>
      <w:r>
        <w:rPr>
          <w:rFonts w:ascii="Arial" w:cs="Arial" w:eastAsia="Arial" w:hAnsi="Arial"/>
          <w:sz w:val="15"/>
          <w:szCs w:val="15"/>
          <w:color w:val="auto"/>
        </w:rPr>
        <w:t>means (a) a direct obligation of the government of a country other than the United States of America, backed by the full</w:t>
      </w:r>
      <w:r>
        <w:rPr>
          <w:rFonts w:ascii="Arial" w:cs="Arial" w:eastAsia="Arial" w:hAnsi="Arial"/>
          <w:sz w:val="15"/>
          <w:szCs w:val="15"/>
          <w:b w:val="1"/>
          <w:bCs w:val="1"/>
          <w:color w:val="auto"/>
        </w:rPr>
        <w:t xml:space="preserve"> </w:t>
      </w:r>
      <w:r>
        <w:rPr>
          <w:rFonts w:ascii="Arial" w:cs="Arial" w:eastAsia="Arial" w:hAnsi="Arial"/>
          <w:sz w:val="15"/>
          <w:szCs w:val="15"/>
          <w:color w:val="auto"/>
        </w:rPr>
        <w:t>faith and credit of such government, (b) an obligation of a Person controlled or supervised by and acting as an agency or instrumentality of such government, the payment of which is unconditionally guaranteed as a full faith and credit obligation by such government or (c) any depositary receipt issued by a bank (as defined in Section 3(a)(2) of the Securities Act of 1933) as custodian with respect to any Foreign Government Obligation which is specified in clause (a) and held by such bank for the account of the holder of such depositary receipt, or with respect to any specific payment of principal of or interest on any such Foreign Government Obligation which is so specified and held, provided that (except as required by law) such custodian is not authorized to make any deduction from the amount payable to the holder of such depositary receipt from any amount received by the custodian in respect of the Foreign Government Obligation or the specific payment of principal or interest evidenced by such depositary receipt.</w:t>
      </w:r>
    </w:p>
    <w:p>
      <w:pPr>
        <w:spacing w:after="0" w:line="153" w:lineRule="exact"/>
        <w:rPr>
          <w:sz w:val="20"/>
          <w:szCs w:val="20"/>
          <w:color w:val="auto"/>
        </w:rPr>
      </w:pPr>
    </w:p>
    <w:p>
      <w:pPr>
        <w:ind w:right="200" w:firstLine="59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Global Security</w:t>
      </w:r>
      <w:r>
        <w:rPr>
          <w:rFonts w:ascii="Arial" w:cs="Arial" w:eastAsia="Arial" w:hAnsi="Arial"/>
          <w:sz w:val="17"/>
          <w:szCs w:val="17"/>
          <w:color w:val="auto"/>
        </w:rPr>
        <w:t>” means a Security evidencing all or a part of a series of Securities, issued to the Depositary for such series in accordance with Section 2.04, and bearing the legend prescribed in Section 2.04.</w:t>
      </w:r>
    </w:p>
    <w:p>
      <w:pPr>
        <w:spacing w:after="0" w:line="164" w:lineRule="exact"/>
        <w:rPr>
          <w:sz w:val="20"/>
          <w:szCs w:val="20"/>
          <w:color w:val="auto"/>
        </w:rPr>
      </w:pPr>
    </w:p>
    <w:p>
      <w:pPr>
        <w:ind w:firstLine="59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Holder</w:t>
      </w:r>
      <w:r>
        <w:rPr>
          <w:rFonts w:ascii="Arial" w:cs="Arial" w:eastAsia="Arial" w:hAnsi="Arial"/>
          <w:sz w:val="17"/>
          <w:szCs w:val="17"/>
          <w:color w:val="auto"/>
        </w:rPr>
        <w:t xml:space="preserve">”, </w:t>
      </w:r>
      <w:r>
        <w:rPr>
          <w:rFonts w:ascii="Arial" w:cs="Arial" w:eastAsia="Arial" w:hAnsi="Arial"/>
          <w:sz w:val="17"/>
          <w:szCs w:val="17"/>
          <w:b w:val="1"/>
          <w:bCs w:val="1"/>
          <w:color w:val="auto"/>
        </w:rPr>
        <w:t>“holder”</w:t>
      </w:r>
      <w:r>
        <w:rPr>
          <w:rFonts w:ascii="Arial" w:cs="Arial" w:eastAsia="Arial" w:hAnsi="Arial"/>
          <w:sz w:val="17"/>
          <w:szCs w:val="17"/>
          <w:color w:val="auto"/>
        </w:rPr>
        <w:t>, “</w:t>
      </w:r>
      <w:r>
        <w:rPr>
          <w:rFonts w:ascii="Arial" w:cs="Arial" w:eastAsia="Arial" w:hAnsi="Arial"/>
          <w:sz w:val="17"/>
          <w:szCs w:val="17"/>
          <w:b w:val="1"/>
          <w:bCs w:val="1"/>
          <w:color w:val="auto"/>
        </w:rPr>
        <w:t>holder of Securities</w:t>
      </w:r>
      <w:r>
        <w:rPr>
          <w:rFonts w:ascii="Arial" w:cs="Arial" w:eastAsia="Arial" w:hAnsi="Arial"/>
          <w:sz w:val="17"/>
          <w:szCs w:val="17"/>
          <w:color w:val="auto"/>
        </w:rPr>
        <w:t>”, “</w:t>
      </w:r>
      <w:r>
        <w:rPr>
          <w:rFonts w:ascii="Arial" w:cs="Arial" w:eastAsia="Arial" w:hAnsi="Arial"/>
          <w:sz w:val="17"/>
          <w:szCs w:val="17"/>
          <w:b w:val="1"/>
          <w:bCs w:val="1"/>
          <w:color w:val="auto"/>
        </w:rPr>
        <w:t>Securityholder</w:t>
      </w:r>
      <w:r>
        <w:rPr>
          <w:rFonts w:ascii="Arial" w:cs="Arial" w:eastAsia="Arial" w:hAnsi="Arial"/>
          <w:sz w:val="17"/>
          <w:szCs w:val="17"/>
          <w:color w:val="auto"/>
        </w:rPr>
        <w:t>” or other similar terms mean the Person in whose name such Security is registered in the Security register kept by the Issuer for that purpose in accordance with the terms hereof.</w:t>
      </w:r>
    </w:p>
    <w:p>
      <w:pPr>
        <w:spacing w:after="0" w:line="164" w:lineRule="exact"/>
        <w:rPr>
          <w:sz w:val="20"/>
          <w:szCs w:val="20"/>
          <w:color w:val="auto"/>
        </w:rPr>
      </w:pPr>
    </w:p>
    <w:p>
      <w:pPr>
        <w:ind w:right="120" w:firstLine="59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Indenture</w:t>
      </w:r>
      <w:r>
        <w:rPr>
          <w:rFonts w:ascii="Arial" w:cs="Arial" w:eastAsia="Arial" w:hAnsi="Arial"/>
          <w:sz w:val="17"/>
          <w:szCs w:val="17"/>
          <w:color w:val="auto"/>
        </w:rPr>
        <w:t>” means this instrument as originally executed and delivered or, if amended or supplemented as herein provided, as so amended or supplemented or both, and shall include the forms and terms of particular series of Securities established as contemplated hereunder.</w:t>
      </w:r>
    </w:p>
    <w:p>
      <w:pPr>
        <w:spacing w:after="0" w:line="164" w:lineRule="exact"/>
        <w:rPr>
          <w:sz w:val="20"/>
          <w:szCs w:val="20"/>
          <w:color w:val="auto"/>
        </w:rPr>
      </w:pPr>
    </w:p>
    <w:p>
      <w:pPr>
        <w:ind w:right="100" w:firstLine="59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w:t>
      </w:r>
      <w:r>
        <w:rPr>
          <w:rFonts w:ascii="Arial" w:cs="Arial" w:eastAsia="Arial" w:hAnsi="Arial"/>
          <w:sz w:val="17"/>
          <w:szCs w:val="17"/>
          <w:color w:val="auto"/>
        </w:rPr>
        <w:t>”, unless the context otherwise requires, refers to interest, and when used with respect to non-interest bearing Securities, refers to interest payable after maturity, if any.</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0">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51" w:name="page52"/>
    <w:bookmarkEnd w:id="51"/>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Payment Date</w:t>
      </w:r>
      <w:r>
        <w:rPr>
          <w:rFonts w:ascii="Arial" w:cs="Arial" w:eastAsia="Arial" w:hAnsi="Arial"/>
          <w:sz w:val="17"/>
          <w:szCs w:val="17"/>
          <w:color w:val="auto"/>
        </w:rPr>
        <w:t>”, with respect to any Security, means the Stated Maturity of an installment of interest on such Security.</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Issuer</w:t>
      </w:r>
      <w:r>
        <w:rPr>
          <w:rFonts w:ascii="Arial" w:cs="Arial" w:eastAsia="Arial" w:hAnsi="Arial"/>
          <w:sz w:val="17"/>
          <w:szCs w:val="17"/>
          <w:color w:val="auto"/>
        </w:rPr>
        <w:t>” means IVERIC bio, Inc., a Delaware corporation, and, subject to Article 9, its successors and assigns.</w:t>
      </w:r>
    </w:p>
    <w:p>
      <w:pPr>
        <w:spacing w:after="0" w:line="201" w:lineRule="exact"/>
        <w:rPr>
          <w:sz w:val="20"/>
          <w:szCs w:val="20"/>
          <w:color w:val="auto"/>
        </w:rPr>
      </w:pPr>
    </w:p>
    <w:p>
      <w:pPr>
        <w:ind w:right="60" w:firstLine="59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Issuer Order</w:t>
      </w:r>
      <w:r>
        <w:rPr>
          <w:rFonts w:ascii="Arial" w:cs="Arial" w:eastAsia="Arial" w:hAnsi="Arial"/>
          <w:sz w:val="17"/>
          <w:szCs w:val="17"/>
          <w:color w:val="auto"/>
        </w:rPr>
        <w:t>” means a written statement, request or order of the Issuer signed in its name by the chairman of the Board of Directors, the president or any vice president of the Issuer.</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 xml:space="preserve">“Notice of Default” </w:t>
      </w:r>
      <w:r>
        <w:rPr>
          <w:rFonts w:ascii="Arial" w:cs="Arial" w:eastAsia="Arial" w:hAnsi="Arial"/>
          <w:sz w:val="17"/>
          <w:szCs w:val="17"/>
          <w:color w:val="auto"/>
        </w:rPr>
        <w:t>shall have the meaning set forth in Section 5.01(c).</w:t>
      </w:r>
    </w:p>
    <w:p>
      <w:pPr>
        <w:spacing w:after="0" w:line="201" w:lineRule="exact"/>
        <w:rPr>
          <w:sz w:val="20"/>
          <w:szCs w:val="20"/>
          <w:color w:val="auto"/>
        </w:rPr>
      </w:pPr>
    </w:p>
    <w:p>
      <w:pPr>
        <w:ind w:firstLine="595"/>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Officer’s Certificate</w:t>
      </w:r>
      <w:r>
        <w:rPr>
          <w:rFonts w:ascii="Arial" w:cs="Arial" w:eastAsia="Arial" w:hAnsi="Arial"/>
          <w:sz w:val="17"/>
          <w:szCs w:val="17"/>
          <w:color w:val="auto"/>
        </w:rPr>
        <w:t>” means a certificate signed by the chairman of the Board of Directors, the president, any vice president, the treasurer, the secretary or any assistant secretary of the Issuer and delivered to the Trustee. Each such certificate shall comply with Section 314 of the Trust Indenture Act of 1939 and, except to the extent provided herein, shall include the statements provided for in Section 11.05.</w:t>
      </w:r>
    </w:p>
    <w:p>
      <w:pPr>
        <w:spacing w:after="0" w:line="173" w:lineRule="exact"/>
        <w:rPr>
          <w:sz w:val="20"/>
          <w:szCs w:val="20"/>
          <w:color w:val="auto"/>
        </w:rPr>
      </w:pPr>
    </w:p>
    <w:p>
      <w:pPr>
        <w:ind w:right="100" w:firstLine="595"/>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Opinion of Counsel</w:t>
      </w:r>
      <w:r>
        <w:rPr>
          <w:rFonts w:ascii="Arial" w:cs="Arial" w:eastAsia="Arial" w:hAnsi="Arial"/>
          <w:sz w:val="17"/>
          <w:szCs w:val="17"/>
          <w:color w:val="auto"/>
        </w:rPr>
        <w:t>” means an opinion in writing signed by the general corporate counsel or such other legal counsel who may be an employee of or counsel to the Issuer and who shall be satisfactory to the Trustee. Each such opinion shall comply with Section 314 of the Trust Indenture Act of 1939 and shall include the statements provided for in Section 11.05, if and to the extent required hereby.</w:t>
      </w:r>
    </w:p>
    <w:p>
      <w:pPr>
        <w:spacing w:after="0" w:line="173" w:lineRule="exact"/>
        <w:rPr>
          <w:sz w:val="20"/>
          <w:szCs w:val="20"/>
          <w:color w:val="auto"/>
        </w:rPr>
      </w:pPr>
    </w:p>
    <w:p>
      <w:pPr>
        <w:ind w:firstLine="59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original issue date</w:t>
      </w:r>
      <w:r>
        <w:rPr>
          <w:rFonts w:ascii="Arial" w:cs="Arial" w:eastAsia="Arial" w:hAnsi="Arial"/>
          <w:sz w:val="17"/>
          <w:szCs w:val="17"/>
          <w:color w:val="auto"/>
        </w:rPr>
        <w:t>” of any Security (or portion thereof) means the earlier of (a) the date of such Security or (b) the date of any Security (or portion thereof) for which such Security was issued (directly or indirectly) on registration of transfer, exchange or substitution.</w:t>
      </w:r>
    </w:p>
    <w:p>
      <w:pPr>
        <w:spacing w:after="0" w:line="164" w:lineRule="exact"/>
        <w:rPr>
          <w:sz w:val="20"/>
          <w:szCs w:val="20"/>
          <w:color w:val="auto"/>
        </w:rPr>
      </w:pPr>
    </w:p>
    <w:p>
      <w:pPr>
        <w:ind w:right="480" w:firstLine="59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Original Issue Discount Security</w:t>
      </w:r>
      <w:r>
        <w:rPr>
          <w:rFonts w:ascii="Arial" w:cs="Arial" w:eastAsia="Arial" w:hAnsi="Arial"/>
          <w:sz w:val="17"/>
          <w:szCs w:val="17"/>
          <w:color w:val="auto"/>
        </w:rPr>
        <w:t>” means any Security that provides for an amount less than the principal amount thereof to be due and payable upon a declaration of acceleration of the maturity thereof pursuant to Section 5.01.</w:t>
      </w:r>
    </w:p>
    <w:p>
      <w:pPr>
        <w:spacing w:after="0" w:line="164" w:lineRule="exact"/>
        <w:rPr>
          <w:sz w:val="20"/>
          <w:szCs w:val="20"/>
          <w:color w:val="auto"/>
        </w:rPr>
      </w:pPr>
    </w:p>
    <w:p>
      <w:pPr>
        <w:ind w:right="760" w:firstLine="59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Outstanding</w:t>
      </w:r>
      <w:r>
        <w:rPr>
          <w:rFonts w:ascii="Arial" w:cs="Arial" w:eastAsia="Arial" w:hAnsi="Arial"/>
          <w:sz w:val="17"/>
          <w:szCs w:val="17"/>
          <w:color w:val="auto"/>
        </w:rPr>
        <w:t>”, when used with reference to Securities, shall, subject to the provisions of Section 7.04, mean, as of any particular time, all Securities authenticated and delivered by the Trustee under this Indenture, except</w:t>
      </w:r>
    </w:p>
    <w:p>
      <w:pPr>
        <w:spacing w:after="0" w:line="168" w:lineRule="exact"/>
        <w:rPr>
          <w:sz w:val="20"/>
          <w:szCs w:val="20"/>
          <w:color w:val="auto"/>
        </w:rPr>
      </w:pPr>
    </w:p>
    <w:p>
      <w:pPr>
        <w:ind w:left="1780" w:hanging="590"/>
        <w:spacing w:after="0"/>
        <w:tabs>
          <w:tab w:leader="none" w:pos="17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Securities theretofore cancelled by the Trustee or delivered to the Trustee for cancellation;</w:t>
      </w:r>
    </w:p>
    <w:p>
      <w:pPr>
        <w:spacing w:after="0" w:line="201" w:lineRule="exact"/>
        <w:rPr>
          <w:rFonts w:ascii="Arial" w:cs="Arial" w:eastAsia="Arial" w:hAnsi="Arial"/>
          <w:sz w:val="17"/>
          <w:szCs w:val="17"/>
          <w:color w:val="auto"/>
        </w:rPr>
      </w:pPr>
    </w:p>
    <w:p>
      <w:pPr>
        <w:ind w:left="1780" w:right="60" w:hanging="590"/>
        <w:spacing w:after="0" w:line="247" w:lineRule="auto"/>
        <w:tabs>
          <w:tab w:leader="none" w:pos="17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Securities, or portions thereof, for the payment or redemption of which cash, U.S. Government Obligations or Foreign Government Obligations (as provided for in Section 10.01(a) and Section 10.01(b)) in the necessary amount shall have been deposited in trust with the Trustee or with any paying agent (other than the Issuer) or shall have been set aside, segregated and held in trust by the Issuer for the Holders of such Securities (if the Issuer shall act as its own paying agent); </w:t>
      </w:r>
      <w:r>
        <w:rPr>
          <w:rFonts w:ascii="Arial" w:cs="Arial" w:eastAsia="Arial" w:hAnsi="Arial"/>
          <w:sz w:val="17"/>
          <w:szCs w:val="17"/>
          <w:i w:val="1"/>
          <w:iCs w:val="1"/>
          <w:color w:val="auto"/>
        </w:rPr>
        <w:t>provided</w:t>
      </w:r>
      <w:r>
        <w:rPr>
          <w:rFonts w:ascii="Arial" w:cs="Arial" w:eastAsia="Arial" w:hAnsi="Arial"/>
          <w:sz w:val="17"/>
          <w:szCs w:val="17"/>
          <w:color w:val="auto"/>
        </w:rPr>
        <w:t>, that if such Securities, or portions thereof, are to be redeemed prior to the maturity thereof, notice of such redemption shall have been given as herein provided, or provision satisfactory to the Trustee shall have been made for giving such notice;</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1">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20"/>
          </w:cols>
          <w:pgMar w:left="320" w:top="842" w:right="359" w:bottom="1440" w:gutter="0" w:footer="0" w:header="0"/>
        </w:sectPr>
      </w:pPr>
    </w:p>
    <w:bookmarkStart w:id="52" w:name="page53"/>
    <w:bookmarkEnd w:id="52"/>
    <w:p>
      <w:pPr>
        <w:ind w:left="1780" w:hanging="590"/>
        <w:spacing w:after="0"/>
        <w:tabs>
          <w:tab w:leader="none" w:pos="17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Securities as to which Legal Defeasance shall have been effected pursuant to Section 10.01(b);</w:t>
      </w:r>
    </w:p>
    <w:p>
      <w:pPr>
        <w:spacing w:after="0" w:line="201" w:lineRule="exact"/>
        <w:rPr>
          <w:rFonts w:ascii="Arial" w:cs="Arial" w:eastAsia="Arial" w:hAnsi="Arial"/>
          <w:sz w:val="17"/>
          <w:szCs w:val="17"/>
          <w:color w:val="auto"/>
        </w:rPr>
      </w:pPr>
    </w:p>
    <w:p>
      <w:pPr>
        <w:ind w:left="1780" w:right="40" w:hanging="590"/>
        <w:spacing w:after="0" w:line="293" w:lineRule="auto"/>
        <w:tabs>
          <w:tab w:leader="none" w:pos="17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Securities in substitution for which other Securities shall have been authenticated and delivered, or which shall have been paid, pursuant to the terms of Section 2.09 (except with respect to any such Security as to which proof satisfactory to the Trustee is presented that such Security is held by a Person in whose hands such Security is a legal, valid and binding obligation of the Issuer), Securities converted into Common Stock pursuant hereto and Securities not deemed outstanding pursuant to Section 12.02; and</w:t>
      </w:r>
    </w:p>
    <w:p>
      <w:pPr>
        <w:spacing w:after="0" w:line="149" w:lineRule="exact"/>
        <w:rPr>
          <w:rFonts w:ascii="Arial" w:cs="Arial" w:eastAsia="Arial" w:hAnsi="Arial"/>
          <w:sz w:val="15"/>
          <w:szCs w:val="15"/>
          <w:color w:val="auto"/>
        </w:rPr>
      </w:pPr>
    </w:p>
    <w:p>
      <w:pPr>
        <w:jc w:val="both"/>
        <w:ind w:left="1780" w:hanging="590"/>
        <w:spacing w:after="0" w:line="367" w:lineRule="auto"/>
        <w:tabs>
          <w:tab w:leader="none" w:pos="17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Securities as to which any property deliverable upon conversion thereof has been delivered (or such delivery has been made available), or as to which any other particular conditions have been satisfied, in each case as may be provided for such Securities as contemplated in Section 2.03.</w:t>
      </w:r>
    </w:p>
    <w:p>
      <w:pPr>
        <w:spacing w:after="0" w:line="103" w:lineRule="exact"/>
        <w:rPr>
          <w:sz w:val="20"/>
          <w:szCs w:val="20"/>
          <w:color w:val="auto"/>
        </w:rPr>
      </w:pPr>
    </w:p>
    <w:p>
      <w:pPr>
        <w:ind w:right="100" w:firstLine="595"/>
        <w:spacing w:after="0" w:line="283" w:lineRule="auto"/>
        <w:rPr>
          <w:sz w:val="20"/>
          <w:szCs w:val="20"/>
          <w:color w:val="auto"/>
        </w:rPr>
      </w:pPr>
      <w:r>
        <w:rPr>
          <w:rFonts w:ascii="Arial" w:cs="Arial" w:eastAsia="Arial" w:hAnsi="Arial"/>
          <w:sz w:val="15"/>
          <w:szCs w:val="15"/>
          <w:color w:val="auto"/>
        </w:rPr>
        <w:t>In determining whether the Holders of the requisite principal amount of Outstanding Securities of any or all series have given any request, demand, authorization, direction, notice, consent or waiver hereunder, (A)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5.01, (B) if, as of such date, the principal amount payable at the Stated Maturity of a Security is not determinable, the principal amount of such Security which shall be deemed to be Outstanding shall be the amount as specified or determined as contemplated by Section 2.03, and (C) the principal amount of a Security denominated in one or more foreign currencies, composite currencies or currency units which shall be deemed to be Outstanding shall be the U.S. dollar equivalent, determined as of such date in the manner provided as contemplated by Section 2.03, of the principal amount of such Security (or, in the case of a Security described in clause (A) or (B) above, of the amount determined as provided in such clause).</w:t>
      </w:r>
    </w:p>
    <w:p>
      <w:pPr>
        <w:spacing w:after="0" w:line="155" w:lineRule="exact"/>
        <w:rPr>
          <w:sz w:val="20"/>
          <w:szCs w:val="20"/>
          <w:color w:val="auto"/>
        </w:rPr>
      </w:pPr>
    </w:p>
    <w:p>
      <w:pPr>
        <w:ind w:right="240" w:firstLine="59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means any individual, corporation, partnership, limited partnership, limited liability company, joint venture, association, joint stock company, trust, unincorporated organization or government or any agency or political subdivision thereof.</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principal</w:t>
      </w:r>
      <w:r>
        <w:rPr>
          <w:rFonts w:ascii="Arial" w:cs="Arial" w:eastAsia="Arial" w:hAnsi="Arial"/>
          <w:sz w:val="15"/>
          <w:szCs w:val="15"/>
          <w:color w:val="auto"/>
        </w:rPr>
        <w:t>” whenever used with reference to the Securities or any Security or any portion thereof, shall be deemed to include “and premium, if any”.</w:t>
      </w:r>
    </w:p>
    <w:p>
      <w:pPr>
        <w:spacing w:after="0" w:line="224"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 xml:space="preserve">“record date” </w:t>
      </w:r>
      <w:r>
        <w:rPr>
          <w:rFonts w:ascii="Arial" w:cs="Arial" w:eastAsia="Arial" w:hAnsi="Arial"/>
          <w:sz w:val="17"/>
          <w:szCs w:val="17"/>
          <w:color w:val="auto"/>
        </w:rPr>
        <w:t>shall have the meaning set forth in Section 2.07.</w:t>
      </w:r>
    </w:p>
    <w:p>
      <w:pPr>
        <w:spacing w:after="0" w:line="201" w:lineRule="exact"/>
        <w:rPr>
          <w:sz w:val="20"/>
          <w:szCs w:val="20"/>
          <w:color w:val="auto"/>
        </w:rPr>
      </w:pPr>
    </w:p>
    <w:p>
      <w:pPr>
        <w:ind w:right="40" w:firstLine="595"/>
        <w:spacing w:after="0" w:line="29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Responsible Officer</w:t>
      </w:r>
      <w:r>
        <w:rPr>
          <w:rFonts w:ascii="Arial" w:cs="Arial" w:eastAsia="Arial" w:hAnsi="Arial"/>
          <w:sz w:val="15"/>
          <w:szCs w:val="15"/>
          <w:color w:val="auto"/>
        </w:rPr>
        <w:t>”, when used with respect to the Trustee, means the chairman of the board of directors, any vice chairman of the board of directors, the chairman of the trust committee, the chairman of the executive committee, any vice chairman of the executive committee, the president, any vice president, the cashier, the secretary, the treasurer, any trust officer, any assistant trust officer, any assistant vice president, any assistant cashier, any assistant secretary, any assistant treasurer, or any other officer or assistant officer of the Trustee customarily performing functions similar to those performed by the persons who at the time shall be such officers, respectively, or to whom any corporate trust matter is referred because of his or her knowledge of and familiarity with the particular subject.</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2">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53" w:name="page54"/>
    <w:bookmarkEnd w:id="53"/>
    <w:p>
      <w:pPr>
        <w:ind w:right="400" w:firstLine="59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Security</w:t>
      </w:r>
      <w:r>
        <w:rPr>
          <w:rFonts w:ascii="Arial" w:cs="Arial" w:eastAsia="Arial" w:hAnsi="Arial"/>
          <w:sz w:val="17"/>
          <w:szCs w:val="17"/>
          <w:color w:val="auto"/>
        </w:rPr>
        <w:t>” or “</w:t>
      </w:r>
      <w:r>
        <w:rPr>
          <w:rFonts w:ascii="Arial" w:cs="Arial" w:eastAsia="Arial" w:hAnsi="Arial"/>
          <w:sz w:val="17"/>
          <w:szCs w:val="17"/>
          <w:b w:val="1"/>
          <w:bCs w:val="1"/>
          <w:color w:val="auto"/>
        </w:rPr>
        <w:t>Securities</w:t>
      </w:r>
      <w:r>
        <w:rPr>
          <w:rFonts w:ascii="Arial" w:cs="Arial" w:eastAsia="Arial" w:hAnsi="Arial"/>
          <w:sz w:val="17"/>
          <w:szCs w:val="17"/>
          <w:color w:val="auto"/>
        </w:rPr>
        <w:t>” has the meaning stated in the first recital of this Indenture, or, as the case may be, Securities that have been authenticated and delivered under this Indenture.</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Security Registrar</w:t>
      </w:r>
      <w:r>
        <w:rPr>
          <w:rFonts w:ascii="Arial" w:cs="Arial" w:eastAsia="Arial" w:hAnsi="Arial"/>
          <w:sz w:val="17"/>
          <w:szCs w:val="17"/>
          <w:color w:val="auto"/>
        </w:rPr>
        <w:t>” shall have the meaning set forth in Section 4.01(b).</w:t>
      </w:r>
    </w:p>
    <w:p>
      <w:pPr>
        <w:spacing w:after="0" w:line="201" w:lineRule="exact"/>
        <w:rPr>
          <w:sz w:val="20"/>
          <w:szCs w:val="20"/>
          <w:color w:val="auto"/>
        </w:rPr>
      </w:pPr>
    </w:p>
    <w:p>
      <w:pPr>
        <w:ind w:right="60" w:firstLine="595"/>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Stated Maturity</w:t>
      </w:r>
      <w:r>
        <w:rPr>
          <w:rFonts w:ascii="Arial" w:cs="Arial" w:eastAsia="Arial" w:hAnsi="Arial"/>
          <w:sz w:val="17"/>
          <w:szCs w:val="17"/>
          <w:color w:val="auto"/>
        </w:rPr>
        <w:t>”, with respect to any Security or any installment of principal thereof or interest thereon or any Additional Amounts with respect thereto, means the date established by or pursuant to this Indenture or such Security as the fixed date on which the principal of such Security or such installment of principal or interest is, or such Additional Amounts are, due and payable.</w:t>
      </w:r>
    </w:p>
    <w:p>
      <w:pPr>
        <w:spacing w:after="0" w:line="173" w:lineRule="exact"/>
        <w:rPr>
          <w:sz w:val="20"/>
          <w:szCs w:val="20"/>
          <w:color w:val="auto"/>
        </w:rPr>
      </w:pPr>
    </w:p>
    <w:p>
      <w:pPr>
        <w:ind w:firstLine="595"/>
        <w:spacing w:after="0" w:line="29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Subsidiary</w:t>
      </w:r>
      <w:r>
        <w:rPr>
          <w:rFonts w:ascii="Arial" w:cs="Arial" w:eastAsia="Arial" w:hAnsi="Arial"/>
          <w:sz w:val="15"/>
          <w:szCs w:val="15"/>
          <w:color w:val="auto"/>
        </w:rPr>
        <w:t>” means any corporation or other entity (including, without limitation, partnerships, limited liability companies, joint ventures and associations) of which at least a majority of the outstanding Capital Stock having by the terms thereof (without regard to the occurrence or any contingency) ordinary voting power for the election of directors (or persons performing similar functions) of such corporation or other entity (irrespective of whether or not at the time the Capital Stock of any other class or classes of such corporation or other entity shall have or might have voting power by reason of the occurrence of any such contingency) is at the time directly or indirectly owned by the Issuer, or by one or more Subsidiaries of the Issuer, or by the Issuer and one or more other Subsidiaries of the Issuer.</w:t>
      </w:r>
    </w:p>
    <w:p>
      <w:pPr>
        <w:spacing w:after="0" w:line="149" w:lineRule="exact"/>
        <w:rPr>
          <w:sz w:val="20"/>
          <w:szCs w:val="20"/>
          <w:color w:val="auto"/>
        </w:rPr>
      </w:pPr>
    </w:p>
    <w:p>
      <w:pPr>
        <w:ind w:right="200" w:firstLine="59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Trust Indenture Act of 1939</w:t>
      </w:r>
      <w:r>
        <w:rPr>
          <w:rFonts w:ascii="Arial" w:cs="Arial" w:eastAsia="Arial" w:hAnsi="Arial"/>
          <w:sz w:val="17"/>
          <w:szCs w:val="17"/>
          <w:color w:val="auto"/>
        </w:rPr>
        <w:t>” (except as otherwise provided in Sections 8.01 and 8.02) means the Trust Indenture Act of 1939 as in force at the date as of which this Indenture was originally executed.</w:t>
      </w:r>
    </w:p>
    <w:p>
      <w:pPr>
        <w:spacing w:after="0" w:line="164" w:lineRule="exact"/>
        <w:rPr>
          <w:sz w:val="20"/>
          <w:szCs w:val="20"/>
          <w:color w:val="auto"/>
        </w:rPr>
      </w:pPr>
    </w:p>
    <w:p>
      <w:pPr>
        <w:ind w:right="40" w:firstLine="595"/>
        <w:spacing w:after="0" w:line="30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Trustee</w:t>
      </w:r>
      <w:r>
        <w:rPr>
          <w:rFonts w:ascii="Arial" w:cs="Arial" w:eastAsia="Arial" w:hAnsi="Arial"/>
          <w:sz w:val="15"/>
          <w:szCs w:val="15"/>
          <w:color w:val="auto"/>
        </w:rPr>
        <w:t>” means the Person identified as “</w:t>
      </w:r>
      <w:r>
        <w:rPr>
          <w:rFonts w:ascii="Arial" w:cs="Arial" w:eastAsia="Arial" w:hAnsi="Arial"/>
          <w:sz w:val="15"/>
          <w:szCs w:val="15"/>
          <w:b w:val="1"/>
          <w:bCs w:val="1"/>
          <w:color w:val="auto"/>
        </w:rPr>
        <w:t>Trustee</w:t>
      </w:r>
      <w:r>
        <w:rPr>
          <w:rFonts w:ascii="Arial" w:cs="Arial" w:eastAsia="Arial" w:hAnsi="Arial"/>
          <w:sz w:val="15"/>
          <w:szCs w:val="15"/>
          <w:color w:val="auto"/>
        </w:rPr>
        <w:t>” in the first paragraph hereof and, subject to the provisions of Article 6, shall also include any successor trustee. “</w:t>
      </w:r>
      <w:r>
        <w:rPr>
          <w:rFonts w:ascii="Arial" w:cs="Arial" w:eastAsia="Arial" w:hAnsi="Arial"/>
          <w:sz w:val="15"/>
          <w:szCs w:val="15"/>
          <w:b w:val="1"/>
          <w:bCs w:val="1"/>
          <w:color w:val="auto"/>
        </w:rPr>
        <w:t>Trustee</w:t>
      </w:r>
      <w:r>
        <w:rPr>
          <w:rFonts w:ascii="Arial" w:cs="Arial" w:eastAsia="Arial" w:hAnsi="Arial"/>
          <w:sz w:val="15"/>
          <w:szCs w:val="15"/>
          <w:color w:val="auto"/>
        </w:rPr>
        <w:t>” shall also mean or include each Person who is then a trustee hereunder and if at any time there is more than one such Person, “</w:t>
      </w:r>
      <w:r>
        <w:rPr>
          <w:rFonts w:ascii="Arial" w:cs="Arial" w:eastAsia="Arial" w:hAnsi="Arial"/>
          <w:sz w:val="15"/>
          <w:szCs w:val="15"/>
          <w:b w:val="1"/>
          <w:bCs w:val="1"/>
          <w:color w:val="auto"/>
        </w:rPr>
        <w:t>Trustee</w:t>
      </w:r>
      <w:r>
        <w:rPr>
          <w:rFonts w:ascii="Arial" w:cs="Arial" w:eastAsia="Arial" w:hAnsi="Arial"/>
          <w:sz w:val="15"/>
          <w:szCs w:val="15"/>
          <w:color w:val="auto"/>
        </w:rPr>
        <w:t>” as used with respect to the Securities of any series shall mean the trustee with respect to the Securities of such series.</w:t>
      </w:r>
    </w:p>
    <w:p>
      <w:pPr>
        <w:spacing w:after="0" w:line="138" w:lineRule="exact"/>
        <w:rPr>
          <w:sz w:val="20"/>
          <w:szCs w:val="20"/>
          <w:color w:val="auto"/>
        </w:rPr>
      </w:pPr>
    </w:p>
    <w:p>
      <w:pPr>
        <w:ind w:right="20" w:firstLine="595"/>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U.S. Government Obligation</w:t>
      </w:r>
      <w:r>
        <w:rPr>
          <w:rFonts w:ascii="Arial" w:cs="Arial" w:eastAsia="Arial" w:hAnsi="Arial"/>
          <w:sz w:val="17"/>
          <w:szCs w:val="17"/>
          <w:color w:val="auto"/>
        </w:rPr>
        <w:t>” means (a) a direct obligation of the United States of America, backed by its full faith and credit, or (b) an obligation of a Person controlled or supervised by and acting as an agency or instrumentality of the United States of America, the payment of which is unconditionally guaranteed as a full faith and credit obligation by the United States of America.</w:t>
      </w:r>
    </w:p>
    <w:p>
      <w:pPr>
        <w:spacing w:after="0" w:line="173" w:lineRule="exact"/>
        <w:rPr>
          <w:sz w:val="20"/>
          <w:szCs w:val="20"/>
          <w:color w:val="auto"/>
        </w:rPr>
      </w:pPr>
    </w:p>
    <w:p>
      <w:pPr>
        <w:ind w:right="240" w:firstLine="59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vice president</w:t>
      </w:r>
      <w:r>
        <w:rPr>
          <w:rFonts w:ascii="Arial" w:cs="Arial" w:eastAsia="Arial" w:hAnsi="Arial"/>
          <w:sz w:val="17"/>
          <w:szCs w:val="17"/>
          <w:color w:val="auto"/>
        </w:rPr>
        <w:t>”, when used with respect to the Issuer or the Trustee, means any vice president, whether or not designated by a number or a word or words added before or after the title of “vice president”.</w:t>
      </w:r>
    </w:p>
    <w:p>
      <w:pPr>
        <w:spacing w:after="0" w:line="366"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3">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100"/>
          </w:cols>
          <w:pgMar w:left="320" w:top="842" w:right="479" w:bottom="1440" w:gutter="0" w:footer="0" w:header="0"/>
        </w:sectPr>
      </w:pPr>
    </w:p>
    <w:bookmarkStart w:id="54" w:name="page55"/>
    <w:bookmarkEnd w:id="54"/>
    <w:p>
      <w:pPr>
        <w:ind w:right="220" w:firstLine="59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Yield to Maturity</w:t>
      </w:r>
      <w:r>
        <w:rPr>
          <w:rFonts w:ascii="Arial" w:cs="Arial" w:eastAsia="Arial" w:hAnsi="Arial"/>
          <w:sz w:val="17"/>
          <w:szCs w:val="17"/>
          <w:color w:val="auto"/>
        </w:rPr>
        <w:t>” means the yield to maturity on a series of securities, calculated at the time of issuance of such series, or, if applicable, at the most recent redetermination of interest on such series, and calculated in accordance with accepted financial practice.</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2</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SECURITIES</w:t>
      </w:r>
    </w:p>
    <w:p>
      <w:pPr>
        <w:spacing w:after="0" w:line="191" w:lineRule="exact"/>
        <w:rPr>
          <w:sz w:val="20"/>
          <w:szCs w:val="20"/>
          <w:color w:val="auto"/>
        </w:rPr>
      </w:pPr>
    </w:p>
    <w:p>
      <w:pPr>
        <w:ind w:firstLine="595"/>
        <w:spacing w:after="0" w:line="246"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i w:val="1"/>
          <w:iCs w:val="1"/>
          <w:color w:val="auto"/>
        </w:rPr>
        <w:t>Forms Generally.</w:t>
      </w:r>
      <w:r>
        <w:rPr>
          <w:rFonts w:ascii="Arial" w:cs="Arial" w:eastAsia="Arial" w:hAnsi="Arial"/>
          <w:sz w:val="17"/>
          <w:szCs w:val="17"/>
          <w:color w:val="auto"/>
        </w:rPr>
        <w:t xml:space="preserve"> The Securities of each series shall be substantially in such form (not inconsistent with this Indenture) as shall be established by or pursuant to one or more Board Resolutions (as set forth in a Board Resolution or, to the extent established pursuant to (rather than set forth in) a Board Resolution, an Officer’s Certificate detailing such establishment) or in one or more indentures supplemental hereto, in each case with such appropriate insertions, omissions, substitutions and other variations as are required or permitted by this Indenture and may have imprinted or otherwise reproduced thereon such legend or legends or endorsements, not inconsistent with the provisions of this Indenture, as may be required to comply with any law or with any rules or regulations pursuant thereto, or with any rules of any securities exchange or to conform to general usage, all as may be determined by the officers executing such Securities as evidenced by their execution of such Securities.</w:t>
      </w:r>
    </w:p>
    <w:p>
      <w:pPr>
        <w:spacing w:after="0" w:line="185" w:lineRule="exact"/>
        <w:rPr>
          <w:sz w:val="20"/>
          <w:szCs w:val="20"/>
          <w:color w:val="auto"/>
        </w:rPr>
      </w:pPr>
    </w:p>
    <w:p>
      <w:pPr>
        <w:ind w:right="80" w:firstLine="595"/>
        <w:spacing w:after="0" w:line="260" w:lineRule="auto"/>
        <w:rPr>
          <w:sz w:val="20"/>
          <w:szCs w:val="20"/>
          <w:color w:val="auto"/>
        </w:rPr>
      </w:pPr>
      <w:r>
        <w:rPr>
          <w:rFonts w:ascii="Arial" w:cs="Arial" w:eastAsia="Arial" w:hAnsi="Arial"/>
          <w:sz w:val="17"/>
          <w:szCs w:val="17"/>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172" w:lineRule="exact"/>
        <w:rPr>
          <w:sz w:val="20"/>
          <w:szCs w:val="20"/>
          <w:color w:val="auto"/>
        </w:rPr>
      </w:pPr>
    </w:p>
    <w:p>
      <w:pPr>
        <w:ind w:right="580" w:firstLine="595"/>
        <w:spacing w:after="0" w:line="260"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i w:val="1"/>
          <w:iCs w:val="1"/>
          <w:color w:val="auto"/>
        </w:rPr>
        <w:t>Form of Trustee’s Certificate of Authentication.</w:t>
      </w:r>
      <w:r>
        <w:rPr>
          <w:rFonts w:ascii="Arial" w:cs="Arial" w:eastAsia="Arial" w:hAnsi="Arial"/>
          <w:sz w:val="17"/>
          <w:szCs w:val="17"/>
          <w:color w:val="auto"/>
        </w:rPr>
        <w:t xml:space="preserve"> The Trustee’s certificate of authentication on all Securities shall be in substantially the following form:</w:t>
      </w:r>
    </w:p>
    <w:p>
      <w:pPr>
        <w:spacing w:after="0" w:line="17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This is one of the Securities of the series designated herein and referred to in the within-mentioned Indenture.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-123190</wp:posOffset>
            </wp:positionV>
            <wp:extent cx="3568065"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4">
                      <a:extLst>
                        <a:ext uri="{28A0092B-C50C-407E-A947-70E740481C1C}"/>
                      </a:extLst>
                    </a:blip>
                    <a:srcRect/>
                    <a:stretch>
                      <a:fillRect/>
                    </a:stretch>
                  </pic:blipFill>
                  <pic:spPr bwMode="auto">
                    <a:xfrm>
                      <a:off x="0" y="0"/>
                      <a:ext cx="3568065" cy="7620"/>
                    </a:xfrm>
                    <a:prstGeom prst="rect">
                      <a:avLst/>
                    </a:prstGeom>
                    <a:noFill/>
                  </pic:spPr>
                </pic:pic>
              </a:graphicData>
            </a:graphic>
          </wp:anchor>
        </w:drawing>
      </w:r>
    </w:p>
    <w:p>
      <w:pPr>
        <w:spacing w:after="0" w:line="181"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By:</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3787775</wp:posOffset>
            </wp:positionH>
            <wp:positionV relativeFrom="paragraph">
              <wp:posOffset>-123190</wp:posOffset>
            </wp:positionV>
            <wp:extent cx="335534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5">
                      <a:extLst>
                        <a:ext uri="{28A0092B-C50C-407E-A947-70E740481C1C}"/>
                      </a:extLst>
                    </a:blip>
                    <a:srcRect/>
                    <a:stretch>
                      <a:fillRect/>
                    </a:stretch>
                  </pic:blipFill>
                  <pic:spPr bwMode="auto">
                    <a:xfrm>
                      <a:off x="0" y="0"/>
                      <a:ext cx="3355340" cy="7620"/>
                    </a:xfrm>
                    <a:prstGeom prst="rect">
                      <a:avLst/>
                    </a:prstGeom>
                    <a:noFill/>
                  </pic:spPr>
                </pic:pic>
              </a:graphicData>
            </a:graphic>
          </wp:anchor>
        </w:drawing>
      </w:r>
    </w:p>
    <w:p>
      <w:pPr>
        <w:spacing w:after="0" w:line="181" w:lineRule="exact"/>
        <w:rPr>
          <w:sz w:val="20"/>
          <w:szCs w:val="20"/>
          <w:color w:val="auto"/>
        </w:rPr>
      </w:pPr>
    </w:p>
    <w:p>
      <w:pPr>
        <w:ind w:right="420" w:firstLine="595"/>
        <w:spacing w:after="0" w:line="260" w:lineRule="auto"/>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i w:val="1"/>
          <w:iCs w:val="1"/>
          <w:color w:val="auto"/>
        </w:rPr>
        <w:t>Amount Unlimited</w:t>
      </w:r>
      <w:r>
        <w:rPr>
          <w:rFonts w:ascii="Arial" w:cs="Arial" w:eastAsia="Arial" w:hAnsi="Arial"/>
          <w:sz w:val="17"/>
          <w:szCs w:val="17"/>
          <w:color w:val="auto"/>
        </w:rPr>
        <w:t xml:space="preserve">; </w:t>
      </w:r>
      <w:r>
        <w:rPr>
          <w:rFonts w:ascii="Arial" w:cs="Arial" w:eastAsia="Arial" w:hAnsi="Arial"/>
          <w:sz w:val="17"/>
          <w:szCs w:val="17"/>
          <w:i w:val="1"/>
          <w:iCs w:val="1"/>
          <w:color w:val="auto"/>
        </w:rPr>
        <w:t>Issuable in Series.</w:t>
      </w:r>
      <w:r>
        <w:rPr>
          <w:rFonts w:ascii="Arial" w:cs="Arial" w:eastAsia="Arial" w:hAnsi="Arial"/>
          <w:sz w:val="17"/>
          <w:szCs w:val="17"/>
          <w:color w:val="auto"/>
        </w:rPr>
        <w:t xml:space="preserve"> The aggregate principal amount of Securities which may be authenticated and delivered under this Indenture is unlimited.</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6">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20"/>
          </w:cols>
          <w:pgMar w:left="320" w:top="842" w:right="359" w:bottom="1440" w:gutter="0" w:footer="0" w:header="0"/>
        </w:sectPr>
      </w:pPr>
    </w:p>
    <w:bookmarkStart w:id="55" w:name="page56"/>
    <w:bookmarkEnd w:id="55"/>
    <w:p>
      <w:pPr>
        <w:ind w:right="200" w:firstLine="595"/>
        <w:spacing w:after="0" w:line="249" w:lineRule="auto"/>
        <w:rPr>
          <w:sz w:val="20"/>
          <w:szCs w:val="20"/>
          <w:color w:val="auto"/>
        </w:rPr>
      </w:pPr>
      <w:r>
        <w:rPr>
          <w:rFonts w:ascii="Arial" w:cs="Arial" w:eastAsia="Arial" w:hAnsi="Arial"/>
          <w:sz w:val="17"/>
          <w:szCs w:val="17"/>
          <w:color w:val="auto"/>
        </w:rPr>
        <w:t>The Securities may be issued in one or more series. The terms of a series of Securities shall be established prior to the initial issuance thereof in or pursuant to one or more Board Resolutions, or, to the extent established pursuant to (rather than set forth in) a Board Resolution, in an Officer’s Certificate detailing such establishment and/or established in one or more indentures supplemental hereto. The terms of such series reflected in such Board Resolution, Officer’s Certificate, or supplemental indenture may include the following or any additional or different terms:</w:t>
      </w:r>
    </w:p>
    <w:p>
      <w:pPr>
        <w:spacing w:after="0" w:line="181" w:lineRule="exact"/>
        <w:rPr>
          <w:sz w:val="20"/>
          <w:szCs w:val="20"/>
          <w:color w:val="auto"/>
        </w:rPr>
      </w:pPr>
    </w:p>
    <w:p>
      <w:pPr>
        <w:ind w:left="1780" w:hanging="590"/>
        <w:spacing w:after="0"/>
        <w:tabs>
          <w:tab w:leader="none" w:pos="1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designation of the Securities of the series (which may be part of a series of Securities previously issued);</w:t>
      </w:r>
    </w:p>
    <w:p>
      <w:pPr>
        <w:spacing w:after="0" w:line="201" w:lineRule="exact"/>
        <w:rPr>
          <w:rFonts w:ascii="Arial" w:cs="Arial" w:eastAsia="Arial" w:hAnsi="Arial"/>
          <w:sz w:val="17"/>
          <w:szCs w:val="17"/>
          <w:color w:val="auto"/>
        </w:rPr>
      </w:pPr>
    </w:p>
    <w:p>
      <w:pPr>
        <w:ind w:left="1780" w:right="20" w:hanging="590"/>
        <w:spacing w:after="0" w:line="252" w:lineRule="auto"/>
        <w:tabs>
          <w:tab w:leader="none" w:pos="1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2.08, 2.09, 2.11, 8.05 or 12.03);</w:t>
      </w:r>
    </w:p>
    <w:p>
      <w:pPr>
        <w:spacing w:after="0" w:line="178" w:lineRule="exact"/>
        <w:rPr>
          <w:rFonts w:ascii="Arial" w:cs="Arial" w:eastAsia="Arial" w:hAnsi="Arial"/>
          <w:sz w:val="17"/>
          <w:szCs w:val="17"/>
          <w:color w:val="auto"/>
        </w:rPr>
      </w:pPr>
    </w:p>
    <w:p>
      <w:pPr>
        <w:ind w:left="1780" w:right="180" w:hanging="590"/>
        <w:spacing w:after="0" w:line="260" w:lineRule="auto"/>
        <w:tabs>
          <w:tab w:leader="none" w:pos="1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date or dates on which the principal of the Securities of the series is payable or the method used to determine those dates and the right, if any, to extend such date or dates;</w:t>
      </w:r>
    </w:p>
    <w:p>
      <w:pPr>
        <w:spacing w:after="0" w:line="171" w:lineRule="exact"/>
        <w:rPr>
          <w:rFonts w:ascii="Arial" w:cs="Arial" w:eastAsia="Arial" w:hAnsi="Arial"/>
          <w:sz w:val="17"/>
          <w:szCs w:val="17"/>
          <w:color w:val="auto"/>
        </w:rPr>
      </w:pPr>
    </w:p>
    <w:p>
      <w:pPr>
        <w:ind w:left="1780" w:hanging="590"/>
        <w:spacing w:after="0" w:line="247" w:lineRule="auto"/>
        <w:tabs>
          <w:tab w:leader="none" w:pos="1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rate or rates at which the Securities of the series shall bear interest, if any or the method by which such rate or rates shall be determined; the record date or dates for the determination of holders to whom interest is payable; the date or dates from which such interest shall accrue and on which such interest shall be payable, or the method by which such date or dates shall be determined; the right, if any, to extend the interest payment periods and the duration of that extension; and the basis upon which interest shall be calculated if other than that of a 360-day year of twelve 30-day months;</w:t>
      </w:r>
    </w:p>
    <w:p>
      <w:pPr>
        <w:spacing w:after="0" w:line="184" w:lineRule="exact"/>
        <w:rPr>
          <w:rFonts w:ascii="Arial" w:cs="Arial" w:eastAsia="Arial" w:hAnsi="Arial"/>
          <w:sz w:val="17"/>
          <w:szCs w:val="17"/>
          <w:color w:val="auto"/>
        </w:rPr>
      </w:pPr>
    </w:p>
    <w:p>
      <w:pPr>
        <w:ind w:left="1780" w:right="380" w:hanging="590"/>
        <w:spacing w:after="0" w:line="260" w:lineRule="auto"/>
        <w:tabs>
          <w:tab w:leader="none" w:pos="1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place or places where the principal of and any interest on Securities of the series shall be payable (if other than as provided in Section 3.02);</w:t>
      </w:r>
    </w:p>
    <w:p>
      <w:pPr>
        <w:spacing w:after="0" w:line="171" w:lineRule="exact"/>
        <w:rPr>
          <w:rFonts w:ascii="Arial" w:cs="Arial" w:eastAsia="Arial" w:hAnsi="Arial"/>
          <w:sz w:val="17"/>
          <w:szCs w:val="17"/>
          <w:color w:val="auto"/>
        </w:rPr>
      </w:pPr>
    </w:p>
    <w:p>
      <w:pPr>
        <w:ind w:left="1780" w:right="140" w:hanging="590"/>
        <w:spacing w:after="0" w:line="249" w:lineRule="auto"/>
        <w:tabs>
          <w:tab w:leader="none" w:pos="1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obligation or the right, if any, of the Issuer to redeem, purchase or repay Securities of the series pursuant to any mandatory redemption, sinking fund or analogous provisions or at the option of a Holder thereof and the price or prices at which and the period or periods within which and any terms and conditions upon which Securities of the series shall be redeemed, purchased or repaid, in whole or in part, pursuant to such obligation or right;</w:t>
      </w:r>
    </w:p>
    <w:p>
      <w:pPr>
        <w:spacing w:after="0" w:line="181" w:lineRule="exact"/>
        <w:rPr>
          <w:rFonts w:ascii="Arial" w:cs="Arial" w:eastAsia="Arial" w:hAnsi="Arial"/>
          <w:sz w:val="17"/>
          <w:szCs w:val="17"/>
          <w:color w:val="auto"/>
        </w:rPr>
      </w:pPr>
    </w:p>
    <w:p>
      <w:pPr>
        <w:ind w:left="1780" w:hanging="590"/>
        <w:spacing w:after="0"/>
        <w:tabs>
          <w:tab w:leader="none" w:pos="17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if other than denominations of $1,000 or multiples of $1,000, the denominations in which Securities of the series shall be issuable;</w:t>
      </w:r>
    </w:p>
    <w:p>
      <w:pPr>
        <w:spacing w:after="0" w:line="224" w:lineRule="exact"/>
        <w:rPr>
          <w:rFonts w:ascii="Arial" w:cs="Arial" w:eastAsia="Arial" w:hAnsi="Arial"/>
          <w:sz w:val="15"/>
          <w:szCs w:val="15"/>
          <w:color w:val="auto"/>
        </w:rPr>
      </w:pPr>
    </w:p>
    <w:p>
      <w:pPr>
        <w:ind w:left="1780" w:right="700" w:hanging="590"/>
        <w:spacing w:after="0" w:line="260" w:lineRule="auto"/>
        <w:tabs>
          <w:tab w:leader="none" w:pos="1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if other than the principal amount thereof, the portion of the principal amount of Securities of the series which shall be payable upon declaration of acceleration of the maturity thereof;</w:t>
      </w:r>
    </w:p>
    <w:p>
      <w:pPr>
        <w:spacing w:after="0" w:line="171" w:lineRule="exact"/>
        <w:rPr>
          <w:rFonts w:ascii="Arial" w:cs="Arial" w:eastAsia="Arial" w:hAnsi="Arial"/>
          <w:sz w:val="17"/>
          <w:szCs w:val="17"/>
          <w:color w:val="auto"/>
        </w:rPr>
      </w:pPr>
    </w:p>
    <w:p>
      <w:pPr>
        <w:ind w:left="1780" w:hanging="590"/>
        <w:spacing w:after="0"/>
        <w:tabs>
          <w:tab w:leader="none" w:pos="1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if other than Dollars, the currency, currencies or currency units in which the Securities of the series are denominated;</w:t>
      </w:r>
    </w:p>
    <w:p>
      <w:pPr>
        <w:spacing w:after="0" w:line="201" w:lineRule="exact"/>
        <w:rPr>
          <w:rFonts w:ascii="Arial" w:cs="Arial" w:eastAsia="Arial" w:hAnsi="Arial"/>
          <w:sz w:val="17"/>
          <w:szCs w:val="17"/>
          <w:color w:val="auto"/>
        </w:rPr>
      </w:pPr>
    </w:p>
    <w:p>
      <w:pPr>
        <w:ind w:left="1780" w:right="180" w:hanging="590"/>
        <w:spacing w:after="0" w:line="260" w:lineRule="auto"/>
        <w:tabs>
          <w:tab w:leader="none" w:pos="1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if other than the currency in which the Securities of the series are denominated, the currency in which payment of the principal of or interest on the Securities of such series shall be payable;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7">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56" w:name="page57"/>
    <w:bookmarkEnd w:id="56"/>
    <w:p>
      <w:pPr>
        <w:jc w:val="both"/>
        <w:ind w:left="660" w:right="20" w:hanging="590"/>
        <w:spacing w:after="0" w:line="252"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if the principal of or interest on the Securities of the series is to be payable, at the election of the Issuer or a Holder thereof, in a currency other than that in which the Securities are denominated, the period or periods within which, and the terms and conditions upon which, such election may be made;</w:t>
      </w:r>
    </w:p>
    <w:p>
      <w:pPr>
        <w:spacing w:after="0" w:line="178" w:lineRule="exact"/>
        <w:rPr>
          <w:rFonts w:ascii="Arial" w:cs="Arial" w:eastAsia="Arial" w:hAnsi="Arial"/>
          <w:sz w:val="17"/>
          <w:szCs w:val="17"/>
          <w:color w:val="auto"/>
        </w:rPr>
      </w:pPr>
    </w:p>
    <w:p>
      <w:pPr>
        <w:ind w:left="660" w:right="240" w:hanging="590"/>
        <w:spacing w:after="0" w:line="301" w:lineRule="auto"/>
        <w:tabs>
          <w:tab w:leader="none" w:pos="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if the amount of payments of principal of and interest on the Securities of the series may be determined by reference to an index based on a currency other than that in which the Securities of the series are denominated, or by reference to one or more currency exchange rates, securities or baskets of securities, commodity prices or indices, the manner in which such amounts shall be determined;</w:t>
      </w:r>
    </w:p>
    <w:p>
      <w:pPr>
        <w:spacing w:after="0" w:line="144" w:lineRule="exact"/>
        <w:rPr>
          <w:rFonts w:ascii="Arial" w:cs="Arial" w:eastAsia="Arial" w:hAnsi="Arial"/>
          <w:sz w:val="15"/>
          <w:szCs w:val="15"/>
          <w:color w:val="auto"/>
        </w:rPr>
      </w:pPr>
    </w:p>
    <w:p>
      <w:pPr>
        <w:ind w:left="660" w:right="180" w:hanging="590"/>
        <w:spacing w:after="0" w:line="252"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terms and conditions, if applicable, upon which conversion or exchange of the Securities into Common Stock will be effected, including the initial conversion or exchange price or rate and any adjustments thereto, the conversion or exchange period and other provisions in addition to or in lieu of those described herein;</w:t>
      </w:r>
    </w:p>
    <w:p>
      <w:pPr>
        <w:spacing w:after="0" w:line="178" w:lineRule="exact"/>
        <w:rPr>
          <w:rFonts w:ascii="Arial" w:cs="Arial" w:eastAsia="Arial" w:hAnsi="Arial"/>
          <w:sz w:val="17"/>
          <w:szCs w:val="17"/>
          <w:color w:val="auto"/>
        </w:rPr>
      </w:pPr>
    </w:p>
    <w:p>
      <w:pPr>
        <w:ind w:left="660" w:hanging="590"/>
        <w:spacing w:after="0" w:line="249"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if the Securities of the series may be issued in exchange for surrendered Securities of another series, or for other securities of the Issuer, pursuant to the terms of such Securities or securities or of any agreement entered into by the Issuer, the ratio of the principal amount of the Securities of the series to be issued to the principal amount of the Securities or securities to be surrendered in exchange, and any other material terms of the exchange;</w:t>
      </w:r>
    </w:p>
    <w:p>
      <w:pPr>
        <w:spacing w:after="0" w:line="181" w:lineRule="exact"/>
        <w:rPr>
          <w:rFonts w:ascii="Arial" w:cs="Arial" w:eastAsia="Arial" w:hAnsi="Arial"/>
          <w:sz w:val="17"/>
          <w:szCs w:val="17"/>
          <w:color w:val="auto"/>
        </w:rPr>
      </w:pPr>
    </w:p>
    <w:p>
      <w:pPr>
        <w:ind w:left="660" w:hanging="590"/>
        <w:spacing w:after="0"/>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if Sections 10.01(b) or 10.01(c) are inapplicable to Securities of such series;</w:t>
      </w:r>
    </w:p>
    <w:p>
      <w:pPr>
        <w:spacing w:after="0" w:line="201" w:lineRule="exact"/>
        <w:rPr>
          <w:rFonts w:ascii="Arial" w:cs="Arial" w:eastAsia="Arial" w:hAnsi="Arial"/>
          <w:sz w:val="17"/>
          <w:szCs w:val="17"/>
          <w:color w:val="auto"/>
        </w:rPr>
      </w:pPr>
    </w:p>
    <w:p>
      <w:pPr>
        <w:ind w:left="660" w:right="220" w:hanging="590"/>
        <w:spacing w:after="0" w:line="260"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whether and under what circumstances the Issuer will pay Additional Amounts on the Securities and, if so, whether the Issuer will have the option to redeem such Securities rather than pay such additional amounts;</w:t>
      </w:r>
    </w:p>
    <w:p>
      <w:pPr>
        <w:spacing w:after="0" w:line="171" w:lineRule="exact"/>
        <w:rPr>
          <w:rFonts w:ascii="Arial" w:cs="Arial" w:eastAsia="Arial" w:hAnsi="Arial"/>
          <w:sz w:val="17"/>
          <w:szCs w:val="17"/>
          <w:color w:val="auto"/>
        </w:rPr>
      </w:pPr>
    </w:p>
    <w:p>
      <w:pPr>
        <w:ind w:left="660" w:right="140" w:hanging="590"/>
        <w:spacing w:after="0" w:line="252"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if the Securities of such series are to be issuable in definitive form (whether upon original issue or upon exchange of a temporary Security of such series) only upon receipt of certain certificates or other documents or satisfaction of other conditions, then the form and terms of such certificates, documents or conditions;</w:t>
      </w:r>
    </w:p>
    <w:p>
      <w:pPr>
        <w:spacing w:after="0" w:line="178" w:lineRule="exact"/>
        <w:rPr>
          <w:rFonts w:ascii="Arial" w:cs="Arial" w:eastAsia="Arial" w:hAnsi="Arial"/>
          <w:sz w:val="17"/>
          <w:szCs w:val="17"/>
          <w:color w:val="auto"/>
        </w:rPr>
      </w:pPr>
    </w:p>
    <w:p>
      <w:pPr>
        <w:ind w:left="660" w:hanging="590"/>
        <w:spacing w:after="0"/>
        <w:tabs>
          <w:tab w:leader="none" w:pos="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any trustees, authenticating or paying agents, transfer agents or registrars or any other agents with respect to the Securities of such series;</w:t>
      </w:r>
    </w:p>
    <w:p>
      <w:pPr>
        <w:spacing w:after="0" w:line="224" w:lineRule="exact"/>
        <w:rPr>
          <w:rFonts w:ascii="Arial" w:cs="Arial" w:eastAsia="Arial" w:hAnsi="Arial"/>
          <w:sz w:val="15"/>
          <w:szCs w:val="15"/>
          <w:color w:val="auto"/>
        </w:rPr>
      </w:pPr>
    </w:p>
    <w:p>
      <w:pPr>
        <w:ind w:left="660" w:right="640" w:hanging="590"/>
        <w:spacing w:after="0" w:line="260"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any other events of default or covenants with respect to the Securities of such series in addition to or in lieu of those contained in this Indenture; and</w:t>
      </w:r>
    </w:p>
    <w:p>
      <w:pPr>
        <w:spacing w:after="0" w:line="171" w:lineRule="exact"/>
        <w:rPr>
          <w:rFonts w:ascii="Arial" w:cs="Arial" w:eastAsia="Arial" w:hAnsi="Arial"/>
          <w:sz w:val="17"/>
          <w:szCs w:val="17"/>
          <w:color w:val="auto"/>
        </w:rPr>
      </w:pPr>
    </w:p>
    <w:p>
      <w:pPr>
        <w:ind w:left="660" w:hanging="590"/>
        <w:spacing w:after="0"/>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any other terms of the series.</w:t>
      </w:r>
    </w:p>
    <w:p>
      <w:pPr>
        <w:spacing w:after="0" w:line="400"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9525</wp:posOffset>
            </wp:positionV>
            <wp:extent cx="714375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8">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0100"/>
          </w:cols>
          <w:pgMar w:left="1440" w:top="846" w:right="359" w:bottom="1440" w:gutter="0" w:footer="0" w:header="0"/>
        </w:sectPr>
      </w:pPr>
    </w:p>
    <w:bookmarkStart w:id="57" w:name="page58"/>
    <w:bookmarkEnd w:id="57"/>
    <w:p>
      <w:pPr>
        <w:ind w:firstLine="595"/>
        <w:spacing w:after="0" w:line="293" w:lineRule="auto"/>
        <w:rPr>
          <w:sz w:val="20"/>
          <w:szCs w:val="20"/>
          <w:color w:val="auto"/>
        </w:rPr>
      </w:pPr>
      <w:r>
        <w:rPr>
          <w:rFonts w:ascii="Arial" w:cs="Arial" w:eastAsia="Arial" w:hAnsi="Arial"/>
          <w:sz w:val="15"/>
          <w:szCs w:val="15"/>
          <w:color w:val="auto"/>
        </w:rPr>
        <w:t>The Issuer may from time to time, without notice to or the consent of the holders of any series of Securities, create and issue further Securities of any such series ranking equally with the Securities of such series in all respects (or in all respects other than (1) the payment of interest accruing prior to the issue date of such further Securities or (2) the first payment of interest following the issue date of such further Securities). Such further Securities may be consolidated and form a single series with the Securities of such series and have the same terms as to status, redemption or otherwise as the Securities of such series.</w:t>
      </w:r>
    </w:p>
    <w:p>
      <w:pPr>
        <w:spacing w:after="0" w:line="150" w:lineRule="exact"/>
        <w:rPr>
          <w:sz w:val="20"/>
          <w:szCs w:val="20"/>
          <w:color w:val="auto"/>
        </w:rPr>
      </w:pPr>
    </w:p>
    <w:p>
      <w:pPr>
        <w:ind w:right="140" w:firstLine="595"/>
        <w:spacing w:after="0" w:line="283" w:lineRule="auto"/>
        <w:rPr>
          <w:sz w:val="20"/>
          <w:szCs w:val="20"/>
          <w:color w:val="auto"/>
        </w:rPr>
      </w:pPr>
      <w:r>
        <w:rPr>
          <w:rFonts w:ascii="Arial" w:cs="Arial" w:eastAsia="Arial" w:hAnsi="Arial"/>
          <w:sz w:val="15"/>
          <w:szCs w:val="15"/>
          <w:color w:val="auto"/>
        </w:rPr>
        <w:t xml:space="preserve">Section 2.04 </w:t>
      </w:r>
      <w:r>
        <w:rPr>
          <w:rFonts w:ascii="Arial" w:cs="Arial" w:eastAsia="Arial" w:hAnsi="Arial"/>
          <w:sz w:val="15"/>
          <w:szCs w:val="15"/>
          <w:i w:val="1"/>
          <w:iCs w:val="1"/>
          <w:color w:val="auto"/>
        </w:rPr>
        <w:t>Authentication and Delivery of Securities.</w:t>
      </w:r>
      <w:r>
        <w:rPr>
          <w:rFonts w:ascii="Arial" w:cs="Arial" w:eastAsia="Arial" w:hAnsi="Arial"/>
          <w:sz w:val="15"/>
          <w:szCs w:val="15"/>
          <w:color w:val="auto"/>
        </w:rPr>
        <w:t xml:space="preserve"> The Issuer may deliver Securities of any series executed by the Issuer to the Trustee for authentication together with the applicable documents referred to below in this Section, and the Trustee shall thereupon authenticate and deliver such Securities to or upon the order of the Issuer (contained in the Issuer Order referred to below in this Section) or pursuant to such procedures acceptable to the Trustee and to such recipients as may be specified from time to time by an Issuer Order. The maturity date, original issue date, interest rate and any other terms of the Securities of such series shall be determined by or pursuant to such Issuer Order and procedures. If provided for in such procedures, such Issuer Order may authorize authentication and delivery pursuant to oral instructions from the Issuer or its duly authorized agent, which instructions shall be promptly confirmed in writing. In authenticating such Securities and accepting the additional responsibilities under this Indenture in relation to such Securities, the Trustee shall be entitled to receive, and (subject to Section 6.01) shall be fully protected in relying upon:</w:t>
      </w:r>
    </w:p>
    <w:p>
      <w:pPr>
        <w:spacing w:after="0" w:line="159" w:lineRule="exact"/>
        <w:rPr>
          <w:sz w:val="20"/>
          <w:szCs w:val="20"/>
          <w:color w:val="auto"/>
        </w:rPr>
      </w:pPr>
    </w:p>
    <w:p>
      <w:pPr>
        <w:ind w:left="1780" w:hanging="590"/>
        <w:spacing w:after="0"/>
        <w:tabs>
          <w:tab w:leader="none" w:pos="1780" w:val="left"/>
        </w:tabs>
        <w:numPr>
          <w:ilvl w:val="0"/>
          <w:numId w:val="50"/>
        </w:numPr>
        <w:rPr>
          <w:rFonts w:ascii="Arial" w:cs="Arial" w:eastAsia="Arial" w:hAnsi="Arial"/>
          <w:sz w:val="15"/>
          <w:szCs w:val="15"/>
          <w:color w:val="auto"/>
        </w:rPr>
      </w:pPr>
      <w:r>
        <w:rPr>
          <w:rFonts w:ascii="Arial" w:cs="Arial" w:eastAsia="Arial" w:hAnsi="Arial"/>
          <w:sz w:val="15"/>
          <w:szCs w:val="15"/>
          <w:color w:val="auto"/>
        </w:rPr>
        <w:t>an Issuer Order requesting such authentication and setting forth delivery instructions if the Securities are not to be delivered to the Issuer;</w:t>
      </w:r>
    </w:p>
    <w:p>
      <w:pPr>
        <w:spacing w:after="0" w:line="224" w:lineRule="exact"/>
        <w:rPr>
          <w:rFonts w:ascii="Arial" w:cs="Arial" w:eastAsia="Arial" w:hAnsi="Arial"/>
          <w:sz w:val="15"/>
          <w:szCs w:val="15"/>
          <w:color w:val="auto"/>
        </w:rPr>
      </w:pPr>
    </w:p>
    <w:p>
      <w:pPr>
        <w:ind w:left="1780" w:right="280" w:hanging="590"/>
        <w:spacing w:after="0" w:line="260" w:lineRule="auto"/>
        <w:tabs>
          <w:tab w:leader="none" w:pos="17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any Board Resolution, Officer’s Certificate and/or executed supplemental indenture referred to in Sections 2.01 and 2.03 by or pursuant to which the forms and terms of the Securities were established;</w:t>
      </w:r>
    </w:p>
    <w:p>
      <w:pPr>
        <w:spacing w:after="0" w:line="171" w:lineRule="exact"/>
        <w:rPr>
          <w:rFonts w:ascii="Arial" w:cs="Arial" w:eastAsia="Arial" w:hAnsi="Arial"/>
          <w:sz w:val="17"/>
          <w:szCs w:val="17"/>
          <w:color w:val="auto"/>
        </w:rPr>
      </w:pPr>
    </w:p>
    <w:p>
      <w:pPr>
        <w:ind w:left="1780" w:right="80" w:hanging="590"/>
        <w:spacing w:after="0" w:line="252" w:lineRule="auto"/>
        <w:tabs>
          <w:tab w:leader="none" w:pos="17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 Officer’s Certificate setting forth the form or forms and terms of the Securities stating that the form or forms and terms of the Securities have been established pursuant to Sections 2.01 and 2.03 and comply with this Indenture, and covering such other matters as the Trustee may reasonably request; and</w:t>
      </w:r>
    </w:p>
    <w:p>
      <w:pPr>
        <w:spacing w:after="0" w:line="178" w:lineRule="exact"/>
        <w:rPr>
          <w:rFonts w:ascii="Arial" w:cs="Arial" w:eastAsia="Arial" w:hAnsi="Arial"/>
          <w:sz w:val="17"/>
          <w:szCs w:val="17"/>
          <w:color w:val="auto"/>
        </w:rPr>
      </w:pPr>
    </w:p>
    <w:p>
      <w:pPr>
        <w:ind w:left="1780" w:hanging="590"/>
        <w:spacing w:after="0"/>
        <w:tabs>
          <w:tab w:leader="none" w:pos="17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 Opinion of Counsel to the effect that:</w:t>
      </w:r>
    </w:p>
    <w:p>
      <w:pPr>
        <w:spacing w:after="0" w:line="201" w:lineRule="exact"/>
        <w:rPr>
          <w:rFonts w:ascii="Arial" w:cs="Arial" w:eastAsia="Arial" w:hAnsi="Arial"/>
          <w:sz w:val="17"/>
          <w:szCs w:val="17"/>
          <w:color w:val="auto"/>
        </w:rPr>
      </w:pPr>
    </w:p>
    <w:p>
      <w:pPr>
        <w:ind w:left="2380" w:right="520" w:hanging="595"/>
        <w:spacing w:after="0" w:line="260" w:lineRule="auto"/>
        <w:tabs>
          <w:tab w:leader="none" w:pos="2380" w:val="left"/>
        </w:tabs>
        <w:numPr>
          <w:ilvl w:val="1"/>
          <w:numId w:val="50"/>
        </w:numPr>
        <w:rPr>
          <w:rFonts w:ascii="Arial" w:cs="Arial" w:eastAsia="Arial" w:hAnsi="Arial"/>
          <w:sz w:val="17"/>
          <w:szCs w:val="17"/>
          <w:color w:val="auto"/>
        </w:rPr>
      </w:pPr>
      <w:r>
        <w:rPr>
          <w:rFonts w:ascii="Arial" w:cs="Arial" w:eastAsia="Arial" w:hAnsi="Arial"/>
          <w:sz w:val="17"/>
          <w:szCs w:val="17"/>
          <w:color w:val="auto"/>
        </w:rPr>
        <w:t>the form or forms and terms of such Securities have been established pursuant to Sections 2.01 and 2.03 and comply with this Indenture,</w:t>
      </w:r>
    </w:p>
    <w:p>
      <w:pPr>
        <w:spacing w:after="0" w:line="171" w:lineRule="exact"/>
        <w:rPr>
          <w:rFonts w:ascii="Arial" w:cs="Arial" w:eastAsia="Arial" w:hAnsi="Arial"/>
          <w:sz w:val="17"/>
          <w:szCs w:val="17"/>
          <w:color w:val="auto"/>
        </w:rPr>
      </w:pPr>
    </w:p>
    <w:p>
      <w:pPr>
        <w:ind w:left="2380" w:hanging="595"/>
        <w:spacing w:after="0"/>
        <w:tabs>
          <w:tab w:leader="none" w:pos="2380" w:val="left"/>
        </w:tabs>
        <w:numPr>
          <w:ilvl w:val="1"/>
          <w:numId w:val="50"/>
        </w:numPr>
        <w:rPr>
          <w:rFonts w:ascii="Arial" w:cs="Arial" w:eastAsia="Arial" w:hAnsi="Arial"/>
          <w:sz w:val="15"/>
          <w:szCs w:val="15"/>
          <w:color w:val="auto"/>
        </w:rPr>
      </w:pPr>
      <w:r>
        <w:rPr>
          <w:rFonts w:ascii="Arial" w:cs="Arial" w:eastAsia="Arial" w:hAnsi="Arial"/>
          <w:sz w:val="15"/>
          <w:szCs w:val="15"/>
          <w:color w:val="auto"/>
        </w:rPr>
        <w:t>the authentication and delivery of such Securities by the Trustee are authorized under the provisions of this Indenture, and</w:t>
      </w:r>
    </w:p>
    <w:p>
      <w:pPr>
        <w:spacing w:after="0" w:line="224" w:lineRule="exact"/>
        <w:rPr>
          <w:rFonts w:ascii="Arial" w:cs="Arial" w:eastAsia="Arial" w:hAnsi="Arial"/>
          <w:sz w:val="15"/>
          <w:szCs w:val="15"/>
          <w:color w:val="auto"/>
        </w:rPr>
      </w:pPr>
    </w:p>
    <w:p>
      <w:pPr>
        <w:ind w:left="2380" w:right="60" w:hanging="595"/>
        <w:spacing w:after="0" w:line="252" w:lineRule="auto"/>
        <w:tabs>
          <w:tab w:leader="none" w:pos="2380" w:val="left"/>
        </w:tabs>
        <w:numPr>
          <w:ilvl w:val="1"/>
          <w:numId w:val="50"/>
        </w:numPr>
        <w:rPr>
          <w:rFonts w:ascii="Arial" w:cs="Arial" w:eastAsia="Arial" w:hAnsi="Arial"/>
          <w:sz w:val="17"/>
          <w:szCs w:val="17"/>
          <w:color w:val="auto"/>
        </w:rPr>
      </w:pPr>
      <w:r>
        <w:rPr>
          <w:rFonts w:ascii="Arial" w:cs="Arial" w:eastAsia="Arial" w:hAnsi="Arial"/>
          <w:sz w:val="17"/>
          <w:szCs w:val="17"/>
          <w:color w:val="auto"/>
        </w:rPr>
        <w:t>such Securities when authenticated and delivered by the Trustee and issued by the Issuer in the manner and subject to any conditions specified in such Opinion of Counsel, will constitute valid and binding obligations of the Issuer, and covering such other matters as the Trustee may reasonably request.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9">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20"/>
          </w:cols>
          <w:pgMar w:left="320" w:top="846" w:right="359" w:bottom="1440" w:gutter="0" w:footer="0" w:header="0"/>
        </w:sectPr>
      </w:pPr>
    </w:p>
    <w:bookmarkStart w:id="58" w:name="page59"/>
    <w:bookmarkEnd w:id="58"/>
    <w:p>
      <w:pPr>
        <w:ind w:right="60" w:firstLine="595"/>
        <w:spacing w:after="0" w:line="293" w:lineRule="auto"/>
        <w:rPr>
          <w:sz w:val="20"/>
          <w:szCs w:val="20"/>
          <w:color w:val="auto"/>
        </w:rPr>
      </w:pPr>
      <w:r>
        <w:rPr>
          <w:rFonts w:ascii="Arial" w:cs="Arial" w:eastAsia="Arial" w:hAnsi="Arial"/>
          <w:sz w:val="15"/>
          <w:szCs w:val="15"/>
          <w:color w:val="auto"/>
        </w:rPr>
        <w:t>The Trustee shall have the right to decline to authenticate and deliver any Securities under this Section if the Trustee, being advised by counsel, determines that such action may not lawfully be taken by the Issuer or if the Trustee in good faith by its board of directors or board of trustees, executive committee, or a trust committee of directors or trustees or Responsible Officers shall determine that such action would expose the Trustee to personal liability to existing Holders or would affect the Trustee’s own rights, duties or immunities under the Securities, this Indenture or otherwise.</w:t>
      </w:r>
    </w:p>
    <w:p>
      <w:pPr>
        <w:spacing w:after="0" w:line="150" w:lineRule="exact"/>
        <w:rPr>
          <w:sz w:val="20"/>
          <w:szCs w:val="20"/>
          <w:color w:val="auto"/>
        </w:rPr>
      </w:pPr>
    </w:p>
    <w:p>
      <w:pPr>
        <w:ind w:firstLine="595"/>
        <w:spacing w:after="0" w:line="293" w:lineRule="auto"/>
        <w:rPr>
          <w:sz w:val="20"/>
          <w:szCs w:val="20"/>
          <w:color w:val="auto"/>
        </w:rPr>
      </w:pPr>
      <w:r>
        <w:rPr>
          <w:rFonts w:ascii="Arial" w:cs="Arial" w:eastAsia="Arial" w:hAnsi="Arial"/>
          <w:sz w:val="15"/>
          <w:szCs w:val="15"/>
          <w:color w:val="auto"/>
        </w:rPr>
        <w:t>The Issuer shall execute and the Trustee shall, in accordance with this Section with respect to the Securities of a series, authenticate and deliver one or more Global Securities that (i) shall represent and shall be denominated in an amount equal to the aggregate principal amount of all of the Securities of such series issued and not yet cancelled, (ii) shall be registered in the name of the Depositary for such Global Security or Securities or the nominee of such Depositary, (iii) shall be delivered by the Trustee to such Depositary or pursuant to such Depositary’s instructions and (iv) shall bear a legend substantially to the following effect:</w:t>
      </w:r>
    </w:p>
    <w:p>
      <w:pPr>
        <w:spacing w:after="0" w:line="150" w:lineRule="exact"/>
        <w:rPr>
          <w:sz w:val="20"/>
          <w:szCs w:val="20"/>
          <w:color w:val="auto"/>
        </w:rPr>
      </w:pPr>
    </w:p>
    <w:p>
      <w:pPr>
        <w:ind w:right="400" w:firstLine="595"/>
        <w:spacing w:after="0" w:line="249"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81" w:lineRule="exact"/>
        <w:rPr>
          <w:sz w:val="20"/>
          <w:szCs w:val="20"/>
          <w:color w:val="auto"/>
        </w:rPr>
      </w:pPr>
    </w:p>
    <w:p>
      <w:pPr>
        <w:ind w:right="460" w:firstLine="595"/>
        <w:spacing w:after="0" w:line="260" w:lineRule="auto"/>
        <w:rPr>
          <w:sz w:val="20"/>
          <w:szCs w:val="20"/>
          <w:color w:val="auto"/>
        </w:rPr>
      </w:pPr>
      <w:r>
        <w:rPr>
          <w:rFonts w:ascii="Arial" w:cs="Arial" w:eastAsia="Arial" w:hAnsi="Arial"/>
          <w:sz w:val="17"/>
          <w:szCs w:val="17"/>
          <w:color w:val="auto"/>
        </w:rPr>
        <w:t>Each Depositary designated pursuant to this Section must, at the time of its designation and at all times while it serves as Depositary, be a clearing agency registered under the Securities Exchange Act of 1934, as amended and any other applicable statute or regulation.</w:t>
      </w:r>
    </w:p>
    <w:p>
      <w:pPr>
        <w:spacing w:after="0" w:line="172" w:lineRule="exact"/>
        <w:rPr>
          <w:sz w:val="20"/>
          <w:szCs w:val="20"/>
          <w:color w:val="auto"/>
        </w:rPr>
      </w:pPr>
    </w:p>
    <w:p>
      <w:pPr>
        <w:ind w:right="160" w:firstLine="595"/>
        <w:spacing w:after="0" w:line="293" w:lineRule="auto"/>
        <w:rPr>
          <w:sz w:val="20"/>
          <w:szCs w:val="20"/>
          <w:color w:val="auto"/>
        </w:rPr>
      </w:pPr>
      <w:r>
        <w:rPr>
          <w:rFonts w:ascii="Arial" w:cs="Arial" w:eastAsia="Arial" w:hAnsi="Arial"/>
          <w:sz w:val="15"/>
          <w:szCs w:val="15"/>
          <w:color w:val="auto"/>
        </w:rPr>
        <w:t xml:space="preserve">Section 2.05 </w:t>
      </w:r>
      <w:r>
        <w:rPr>
          <w:rFonts w:ascii="Arial" w:cs="Arial" w:eastAsia="Arial" w:hAnsi="Arial"/>
          <w:sz w:val="15"/>
          <w:szCs w:val="15"/>
          <w:i w:val="1"/>
          <w:iCs w:val="1"/>
          <w:color w:val="auto"/>
        </w:rPr>
        <w:t>Execution of Securities</w:t>
      </w:r>
      <w:r>
        <w:rPr>
          <w:rFonts w:ascii="Arial" w:cs="Arial" w:eastAsia="Arial" w:hAnsi="Arial"/>
          <w:sz w:val="15"/>
          <w:szCs w:val="15"/>
          <w:color w:val="auto"/>
        </w:rPr>
        <w:t>. The Securities shall be signed on behalf of the Issuer by the chairman of its Board of Directors, any vice chairman of its Board of Directors, its chief executive officer, its principal financial officer, its president, any vice president or its treasurer. Such signatures may be the manual or facsimile signatures of the present or any future such officers. Typographical and other minor errors or defects in any such reproduction of any such signature shall not affect the validity or enforceability of any Security that has been duly authenticated and delivered by the Trustee.</w:t>
      </w:r>
    </w:p>
    <w:p>
      <w:pPr>
        <w:spacing w:after="0" w:line="150" w:lineRule="exact"/>
        <w:rPr>
          <w:sz w:val="20"/>
          <w:szCs w:val="20"/>
          <w:color w:val="auto"/>
        </w:rPr>
      </w:pPr>
    </w:p>
    <w:p>
      <w:pPr>
        <w:ind w:firstLine="595"/>
        <w:spacing w:after="0" w:line="319" w:lineRule="auto"/>
        <w:rPr>
          <w:sz w:val="20"/>
          <w:szCs w:val="20"/>
          <w:color w:val="auto"/>
        </w:rPr>
      </w:pPr>
      <w:r>
        <w:rPr>
          <w:rFonts w:ascii="Arial" w:cs="Arial" w:eastAsia="Arial" w:hAnsi="Arial"/>
          <w:sz w:val="14"/>
          <w:szCs w:val="14"/>
          <w:color w:val="auto"/>
        </w:rPr>
        <w:t>In case any officer of the Issuer who shall have signed any of the Securities shall cease to be such officer before the Security so signed shall be authenticated and delivered by the Trustee or disposed of by the Issuer, such Security nevertheless may be authenticated and delivered or disposed of as though the person who signed such Security had not ceased to be such officer of the Issuer; and any Security may be signed on behalf of the Issuer by such persons as, at the actual date of the execution of such Security, shall be the proper officers of the Issuer, although at the date of the execution and delivery of this Indenture any such person was not such an officer.</w:t>
      </w:r>
    </w:p>
    <w:p>
      <w:pPr>
        <w:spacing w:after="0" w:line="33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0">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59" w:name="page60"/>
    <w:bookmarkEnd w:id="59"/>
    <w:p>
      <w:pPr>
        <w:ind w:firstLine="595"/>
        <w:spacing w:after="0" w:line="293" w:lineRule="auto"/>
        <w:rPr>
          <w:sz w:val="20"/>
          <w:szCs w:val="20"/>
          <w:color w:val="auto"/>
        </w:rPr>
      </w:pPr>
      <w:r>
        <w:rPr>
          <w:rFonts w:ascii="Arial" w:cs="Arial" w:eastAsia="Arial" w:hAnsi="Arial"/>
          <w:sz w:val="15"/>
          <w:szCs w:val="15"/>
          <w:color w:val="auto"/>
        </w:rPr>
        <w:t xml:space="preserve">Section 2.06 </w:t>
      </w:r>
      <w:r>
        <w:rPr>
          <w:rFonts w:ascii="Arial" w:cs="Arial" w:eastAsia="Arial" w:hAnsi="Arial"/>
          <w:sz w:val="15"/>
          <w:szCs w:val="15"/>
          <w:i w:val="1"/>
          <w:iCs w:val="1"/>
          <w:color w:val="auto"/>
        </w:rPr>
        <w:t>Certificate of Authentication</w:t>
      </w:r>
      <w:r>
        <w:rPr>
          <w:rFonts w:ascii="Arial" w:cs="Arial" w:eastAsia="Arial" w:hAnsi="Arial"/>
          <w:sz w:val="15"/>
          <w:szCs w:val="15"/>
          <w:color w:val="auto"/>
        </w:rPr>
        <w:t>. Only such Securities as shall bear thereon a certificate of authentication substantially in the form hereinbefore recited, executed by the Trustee by the manual signature of one of its authorized officers, shall be entitled to the benefits of this Indenture or be valid or obligatory for any purpose. The execution of such certificate by the Trustee upon any Security executed by the Issuer shall be conclusive evidence that the Security so authenticated has been duly authenticated and delivered hereunder and that the Holder is entitled to the benefits of this Indenture.</w:t>
      </w:r>
    </w:p>
    <w:p>
      <w:pPr>
        <w:spacing w:after="0" w:line="150" w:lineRule="exact"/>
        <w:rPr>
          <w:sz w:val="20"/>
          <w:szCs w:val="20"/>
          <w:color w:val="auto"/>
        </w:rPr>
      </w:pPr>
    </w:p>
    <w:p>
      <w:pPr>
        <w:ind w:right="140" w:firstLine="595"/>
        <w:spacing w:after="0" w:line="288" w:lineRule="auto"/>
        <w:rPr>
          <w:sz w:val="20"/>
          <w:szCs w:val="20"/>
          <w:color w:val="auto"/>
        </w:rPr>
      </w:pPr>
      <w:r>
        <w:rPr>
          <w:rFonts w:ascii="Arial" w:cs="Arial" w:eastAsia="Arial" w:hAnsi="Arial"/>
          <w:sz w:val="15"/>
          <w:szCs w:val="15"/>
          <w:color w:val="auto"/>
        </w:rPr>
        <w:t xml:space="preserve">Section 2.07 </w:t>
      </w:r>
      <w:r>
        <w:rPr>
          <w:rFonts w:ascii="Arial" w:cs="Arial" w:eastAsia="Arial" w:hAnsi="Arial"/>
          <w:sz w:val="15"/>
          <w:szCs w:val="15"/>
          <w:i w:val="1"/>
          <w:iCs w:val="1"/>
          <w:color w:val="auto"/>
        </w:rPr>
        <w:t>Denomination and Date of Securities; Payments of Interest</w:t>
      </w:r>
      <w:r>
        <w:rPr>
          <w:rFonts w:ascii="Arial" w:cs="Arial" w:eastAsia="Arial" w:hAnsi="Arial"/>
          <w:sz w:val="15"/>
          <w:szCs w:val="15"/>
          <w:color w:val="auto"/>
        </w:rPr>
        <w:t>. The Securities of each series shall be issuable in denominations established as contemplated by Section 2.03 or, if not so established, in denominations of $1,000 or multiples of $1,000. The Securities of each series shall be numbered, lettered or otherwise distinguished in such manner or in accordance with such plan as the officers of the Issuer executing the same may determine with the approval of the Trustee, as evidenced by the execution and authentication thereof. Unless otherwise indicated in a Board Resolution, Officer’s Certificate or supplemental indenture for a particular series, interest will be calculated on the basis of a 360-day year of twelve 30-day months.</w:t>
      </w:r>
    </w:p>
    <w:p>
      <w:pPr>
        <w:spacing w:after="0" w:line="156" w:lineRule="exact"/>
        <w:rPr>
          <w:sz w:val="20"/>
          <w:szCs w:val="20"/>
          <w:color w:val="auto"/>
        </w:rPr>
      </w:pPr>
    </w:p>
    <w:p>
      <w:pPr>
        <w:ind w:right="520" w:firstLine="595"/>
        <w:spacing w:after="0" w:line="260" w:lineRule="auto"/>
        <w:rPr>
          <w:sz w:val="20"/>
          <w:szCs w:val="20"/>
          <w:color w:val="auto"/>
        </w:rPr>
      </w:pPr>
      <w:r>
        <w:rPr>
          <w:rFonts w:ascii="Arial" w:cs="Arial" w:eastAsia="Arial" w:hAnsi="Arial"/>
          <w:sz w:val="17"/>
          <w:szCs w:val="17"/>
          <w:color w:val="auto"/>
        </w:rPr>
        <w:t>Each Security shall be dated the date of its authentication. The Securities of each series shall bear interest, if any, from the date, and such interest shall be payable on the dates, established as contemplated by Section 2.03.</w:t>
      </w:r>
    </w:p>
    <w:p>
      <w:pPr>
        <w:spacing w:after="0" w:line="172" w:lineRule="exact"/>
        <w:rPr>
          <w:sz w:val="20"/>
          <w:szCs w:val="20"/>
          <w:color w:val="auto"/>
        </w:rPr>
      </w:pPr>
    </w:p>
    <w:p>
      <w:pPr>
        <w:ind w:firstLine="595"/>
        <w:spacing w:after="0" w:line="281" w:lineRule="auto"/>
        <w:rPr>
          <w:sz w:val="20"/>
          <w:szCs w:val="20"/>
          <w:color w:val="auto"/>
        </w:rPr>
      </w:pPr>
      <w:r>
        <w:rPr>
          <w:rFonts w:ascii="Arial" w:cs="Arial" w:eastAsia="Arial" w:hAnsi="Arial"/>
          <w:sz w:val="15"/>
          <w:szCs w:val="15"/>
          <w:color w:val="auto"/>
        </w:rPr>
        <w:t xml:space="preserve">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exchange or conversion of such Security subsequent to the record date and prior to such Interest Payment Date, except if and to the extent the Issuer shall default in the payment of the interest due on such Interest Payment Date for such series, in which case such defaulted interest shall be paid to the Persons in whose names Outstanding Securities for such series are registered at the close of business on a subsequent record date (which shall be not less than five Business Days prior to the date of payment of such defaulted interest) established by notice given by or on behalf of the Issuer to the Holders of Securities not less than 15 days preceding such subsequent record date. The term </w:t>
      </w:r>
      <w:r>
        <w:rPr>
          <w:rFonts w:ascii="Arial" w:cs="Arial" w:eastAsia="Arial" w:hAnsi="Arial"/>
          <w:sz w:val="15"/>
          <w:szCs w:val="15"/>
          <w:b w:val="1"/>
          <w:bCs w:val="1"/>
          <w:color w:val="auto"/>
        </w:rPr>
        <w:t>“record date”</w:t>
      </w:r>
      <w:r>
        <w:rPr>
          <w:rFonts w:ascii="Arial" w:cs="Arial" w:eastAsia="Arial" w:hAnsi="Arial"/>
          <w:sz w:val="15"/>
          <w:szCs w:val="15"/>
          <w:color w:val="auto"/>
        </w:rPr>
        <w:t xml:space="preserve"> as used with respect to any Interest Payment Date (except a date for payment of defaulted interest) for the Securities of any series shall mean the date specified as such in the terms of the Securities of such series established as contemplated by Section 2.03, or, if no such date is so specified, if such Interest Payment Date is the first day of a calendar month, the 15th day of the immediately preceding calendar month or, if such Interest Payment Date is the 15th day of a calendar month, the first day of such calendar month, whether or not such record date is a Business Day.</w:t>
      </w:r>
    </w:p>
    <w:p>
      <w:pPr>
        <w:spacing w:after="0" w:line="163"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color w:val="auto"/>
        </w:rPr>
        <w:t>Section 2.08</w:t>
      </w:r>
      <w:r>
        <w:rPr>
          <w:sz w:val="20"/>
          <w:szCs w:val="20"/>
          <w:color w:val="auto"/>
        </w:rPr>
        <w:tab/>
      </w:r>
      <w:r>
        <w:rPr>
          <w:rFonts w:ascii="Arial" w:cs="Arial" w:eastAsia="Arial" w:hAnsi="Arial"/>
          <w:sz w:val="14"/>
          <w:szCs w:val="14"/>
          <w:i w:val="1"/>
          <w:iCs w:val="1"/>
          <w:color w:val="auto"/>
        </w:rPr>
        <w:t>Registration, Transfer and Exchange</w:t>
      </w:r>
      <w:r>
        <w:rPr>
          <w:rFonts w:ascii="Arial" w:cs="Arial" w:eastAsia="Arial" w:hAnsi="Arial"/>
          <w:sz w:val="14"/>
          <w:szCs w:val="14"/>
          <w:color w:val="auto"/>
        </w:rPr>
        <w:t>. The Issuer will keep at each office or agency to be maintained for the purpose as provided in Section</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3.02 for each series of Securities a register or registers in which, subject to such reasonable regulations as it may prescribe, it will provide for the registration of Securities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of such series and the registration of transfer of Securities of such series. Such register shall be in written form in the English language or in any other form capable of</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being converted into such form within a reasonable time. At all reasonable times such register or registers shall be open for inspection by the Trustee.</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1">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0" w:name="page61"/>
    <w:bookmarkEnd w:id="60"/>
    <w:p>
      <w:pPr>
        <w:ind w:right="200" w:firstLine="595"/>
        <w:spacing w:after="0" w:line="301" w:lineRule="auto"/>
        <w:rPr>
          <w:sz w:val="20"/>
          <w:szCs w:val="20"/>
          <w:color w:val="auto"/>
        </w:rPr>
      </w:pPr>
      <w:r>
        <w:rPr>
          <w:rFonts w:ascii="Arial" w:cs="Arial" w:eastAsia="Arial" w:hAnsi="Arial"/>
          <w:sz w:val="15"/>
          <w:szCs w:val="15"/>
          <w:color w:val="auto"/>
        </w:rPr>
        <w:t>Upon due presentation for registration of transfer of any Security of any series at any such office or agency to be maintained for the purpose as provided in Section 3.02, the Issuer shall execute and the Trustee shall authenticate and deliver in the name of the transferee or transferees a new Security or Securities of the same series, maturity date, interest rate and original issue date in authorized denominations for a like aggregate principal amount.</w:t>
      </w:r>
    </w:p>
    <w:p>
      <w:pPr>
        <w:spacing w:after="0" w:line="145" w:lineRule="exact"/>
        <w:rPr>
          <w:sz w:val="20"/>
          <w:szCs w:val="20"/>
          <w:color w:val="auto"/>
        </w:rPr>
      </w:pPr>
    </w:p>
    <w:p>
      <w:pPr>
        <w:ind w:firstLine="595"/>
        <w:spacing w:after="0" w:line="286" w:lineRule="auto"/>
        <w:rPr>
          <w:sz w:val="20"/>
          <w:szCs w:val="20"/>
          <w:color w:val="auto"/>
        </w:rPr>
      </w:pPr>
      <w:r>
        <w:rPr>
          <w:rFonts w:ascii="Arial" w:cs="Arial" w:eastAsia="Arial" w:hAnsi="Arial"/>
          <w:sz w:val="15"/>
          <w:szCs w:val="15"/>
          <w:color w:val="auto"/>
        </w:rPr>
        <w:t>At the option of the Holder thereof, Securities of any series (except a Global Security) may be exchanged for a Security or Securities of such series having authorized denominations and an equal aggregate principal amount, upon surrender of such Securities to be exchanged at the agency of the Issuer that shall be maintained for such purpose in accordance with Section 3.02 and upon payment, if the Issuer shall so require, of the charges hereinafter provided. Whenever any Securities are so surrendered for exchange, the Issuer shall execute, and the Trustee shall authenticate and deliver, the Securities which the Holder making the exchange is entitled to receive. All Securities surrendered upon any exchange or transfer provided for in this Indenture shall be promptly cancelled and disposed of by the Trustee and the Trustee will deliver a certificate of disposition thereof to the Issuer.</w:t>
      </w:r>
    </w:p>
    <w:p>
      <w:pPr>
        <w:spacing w:after="0" w:line="156" w:lineRule="exact"/>
        <w:rPr>
          <w:sz w:val="20"/>
          <w:szCs w:val="20"/>
          <w:color w:val="auto"/>
        </w:rPr>
      </w:pPr>
    </w:p>
    <w:p>
      <w:pPr>
        <w:ind w:right="180" w:firstLine="595"/>
        <w:spacing w:after="0" w:line="252" w:lineRule="auto"/>
        <w:rPr>
          <w:sz w:val="20"/>
          <w:szCs w:val="20"/>
          <w:color w:val="auto"/>
        </w:rPr>
      </w:pPr>
      <w:r>
        <w:rPr>
          <w:rFonts w:ascii="Arial" w:cs="Arial" w:eastAsia="Arial" w:hAnsi="Arial"/>
          <w:sz w:val="17"/>
          <w:szCs w:val="17"/>
          <w:color w:val="auto"/>
        </w:rPr>
        <w:t>All Securities presented for registration of transfer, exchange, redemption or payment shall (if so required by the Issuer or the Trustee) be duly endorsed by, or be accompanied by a written instrument or instruments of transfer in form satisfactory to the Issuer and the Trustee duly executed by, the Holder or his or her attorney duly authorized in writing.</w:t>
      </w:r>
    </w:p>
    <w:p>
      <w:pPr>
        <w:spacing w:after="0" w:line="178" w:lineRule="exact"/>
        <w:rPr>
          <w:sz w:val="20"/>
          <w:szCs w:val="20"/>
          <w:color w:val="auto"/>
        </w:rPr>
      </w:pPr>
    </w:p>
    <w:p>
      <w:pPr>
        <w:ind w:right="180" w:firstLine="595"/>
        <w:spacing w:after="0" w:line="260" w:lineRule="auto"/>
        <w:rPr>
          <w:sz w:val="20"/>
          <w:szCs w:val="20"/>
          <w:color w:val="auto"/>
        </w:rPr>
      </w:pPr>
      <w:r>
        <w:rPr>
          <w:rFonts w:ascii="Arial" w:cs="Arial" w:eastAsia="Arial" w:hAnsi="Arial"/>
          <w:sz w:val="17"/>
          <w:szCs w:val="17"/>
          <w:color w:val="auto"/>
        </w:rPr>
        <w:t>The Issuer may require payment of a sum sufficient to cover any stamp or other tax or other governmental charge that may be imposed in connection with any exchange or registration of transfer of Securities. No service charge shall be made for any such transaction.</w:t>
      </w:r>
    </w:p>
    <w:p>
      <w:pPr>
        <w:spacing w:after="0" w:line="172" w:lineRule="exact"/>
        <w:rPr>
          <w:sz w:val="20"/>
          <w:szCs w:val="20"/>
          <w:color w:val="auto"/>
        </w:rPr>
      </w:pPr>
    </w:p>
    <w:p>
      <w:pPr>
        <w:jc w:val="both"/>
        <w:ind w:right="400" w:firstLine="595"/>
        <w:spacing w:after="0" w:line="252" w:lineRule="auto"/>
        <w:rPr>
          <w:sz w:val="20"/>
          <w:szCs w:val="20"/>
          <w:color w:val="auto"/>
        </w:rPr>
      </w:pPr>
      <w:r>
        <w:rPr>
          <w:rFonts w:ascii="Arial" w:cs="Arial" w:eastAsia="Arial" w:hAnsi="Arial"/>
          <w:sz w:val="17"/>
          <w:szCs w:val="17"/>
          <w:color w:val="auto"/>
        </w:rPr>
        <w:t>The Issuer shall not be required to exchange or register a transfer of (a) any Securities of any series for a period of 15 days immediately preceding the first delivery of notice of redemption of Securities of such series to be redeemed or (b) any Securities selected, called or being called for redemption, in whole or in part, except, in the case of any Security to be redeemed in part, the portion thereof not so to be redeemed.</w:t>
      </w:r>
    </w:p>
    <w:p>
      <w:pPr>
        <w:spacing w:after="0" w:line="178" w:lineRule="exact"/>
        <w:rPr>
          <w:sz w:val="20"/>
          <w:szCs w:val="20"/>
          <w:color w:val="auto"/>
        </w:rPr>
      </w:pPr>
    </w:p>
    <w:p>
      <w:pPr>
        <w:ind w:firstLine="595"/>
        <w:spacing w:after="0" w:line="249" w:lineRule="auto"/>
        <w:rPr>
          <w:sz w:val="20"/>
          <w:szCs w:val="20"/>
          <w:color w:val="auto"/>
        </w:rPr>
      </w:pPr>
      <w:r>
        <w:rPr>
          <w:rFonts w:ascii="Arial" w:cs="Arial" w:eastAsia="Arial" w:hAnsi="Arial"/>
          <w:sz w:val="17"/>
          <w:szCs w:val="17"/>
          <w:color w:val="auto"/>
        </w:rPr>
        <w:t>Notwithstanding any other provision of this Section 2.08, unless and until it is exchanged in whole or in part for Securities in definitive registered form, a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181" w:lineRule="exact"/>
        <w:rPr>
          <w:sz w:val="20"/>
          <w:szCs w:val="20"/>
          <w:color w:val="auto"/>
        </w:rPr>
      </w:pPr>
    </w:p>
    <w:p>
      <w:pPr>
        <w:ind w:right="120" w:firstLine="595"/>
        <w:spacing w:after="0" w:line="284" w:lineRule="auto"/>
        <w:rPr>
          <w:sz w:val="20"/>
          <w:szCs w:val="20"/>
          <w:color w:val="auto"/>
        </w:rPr>
      </w:pPr>
      <w:r>
        <w:rPr>
          <w:rFonts w:ascii="Arial" w:cs="Arial" w:eastAsia="Arial" w:hAnsi="Arial"/>
          <w:sz w:val="15"/>
          <w:szCs w:val="15"/>
          <w:color w:val="auto"/>
        </w:rPr>
        <w:t>If at any time the Depositary for the Securities of a series notifies the Issuer that it is unwilling or unable to continue as Depositary for the Securities of such series or if at any time the Depositary for the Securities of a series shall no longer be eligible under Section 2.04, the Issuer shall appoint a successor Depositary with respect to the Securities of such series. If a successor Depositary for the Securities of such series is not appointed by the Issuer within 90 days after the Issuer receives such notice or becomes aware of such ineligibility, the Issuer’s determination pursuant to Section 2.03 that the Securities of such series be represented by a Global Security shall no longer be effective and the Issuer will execute, and the Trustee, upon receipt of an Officer’s Certificate for the authentication and delivery of definitive Securities of such series, will authenticate and deliver, Securities of such series in definitive registered form, in any authorized denominations, in an aggregate principal amount equal to the principal amount of the Global Security or Securities representing the Securities of such series, in exchange for such Global Security or Securities.</w:t>
      </w:r>
    </w:p>
    <w:p>
      <w:pPr>
        <w:spacing w:after="0" w:line="35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2">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1" w:name="page62"/>
    <w:bookmarkEnd w:id="61"/>
    <w:p>
      <w:pPr>
        <w:ind w:right="20" w:firstLine="595"/>
        <w:spacing w:after="0" w:line="247" w:lineRule="auto"/>
        <w:rPr>
          <w:sz w:val="20"/>
          <w:szCs w:val="20"/>
          <w:color w:val="auto"/>
        </w:rPr>
      </w:pPr>
      <w:r>
        <w:rPr>
          <w:rFonts w:ascii="Arial" w:cs="Arial" w:eastAsia="Arial" w:hAnsi="Arial"/>
          <w:sz w:val="17"/>
          <w:szCs w:val="17"/>
          <w:color w:val="auto"/>
        </w:rPr>
        <w:t>The Issuer may at any time and in its sole discretion determine that the Securities of any series issued in the form of one or more Global Securities shall no longer be represented by a Global Security or Securities. In such event the Issuer will execute, and the Trustee, upon receipt of an Officer’s Certificate for the authentication and delivery of definitive Securities of such series, will authenticate and deliver, Securities of such series in definitive registered form, in any authorized denominations, in an aggregate principal amount equal to the principal amount of the Global Security or Securities representing such series, in exchange for such Global Security or Securities.</w:t>
      </w:r>
    </w:p>
    <w:p>
      <w:pPr>
        <w:spacing w:after="0" w:line="185" w:lineRule="exact"/>
        <w:rPr>
          <w:sz w:val="20"/>
          <w:szCs w:val="20"/>
          <w:color w:val="auto"/>
        </w:rPr>
      </w:pPr>
    </w:p>
    <w:p>
      <w:pPr>
        <w:ind w:right="100" w:firstLine="595"/>
        <w:spacing w:after="0" w:line="252" w:lineRule="auto"/>
        <w:rPr>
          <w:sz w:val="20"/>
          <w:szCs w:val="20"/>
          <w:color w:val="auto"/>
        </w:rPr>
      </w:pPr>
      <w:r>
        <w:rPr>
          <w:rFonts w:ascii="Arial" w:cs="Arial" w:eastAsia="Arial" w:hAnsi="Arial"/>
          <w:sz w:val="17"/>
          <w:szCs w:val="17"/>
          <w:color w:val="auto"/>
        </w:rPr>
        <w:t>The Depositary for such Global Security may surrender such Global Security in exchange in whole or in part for Securities of the same series in definitive registered form in accordance with the two preceding paragraphs or on such other terms as are acceptable to the Issuer and such Depositary. Thereupon, the Issuer shall execute, and the Trustee shall authenticate and deliver, without service charge,</w:t>
      </w:r>
    </w:p>
    <w:p>
      <w:pPr>
        <w:spacing w:after="0" w:line="178" w:lineRule="exact"/>
        <w:rPr>
          <w:sz w:val="20"/>
          <w:szCs w:val="20"/>
          <w:color w:val="auto"/>
        </w:rPr>
      </w:pPr>
    </w:p>
    <w:p>
      <w:pPr>
        <w:ind w:left="2380" w:hanging="595"/>
        <w:spacing w:after="0"/>
        <w:tabs>
          <w:tab w:leader="none" w:pos="23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to the Person specified by such Depositary a new Security or Securities of the same series, of any authorized</w:t>
      </w:r>
    </w:p>
    <w:p>
      <w:pPr>
        <w:spacing w:after="0" w:line="13" w:lineRule="exact"/>
        <w:rPr>
          <w:rFonts w:ascii="Arial" w:cs="Arial" w:eastAsia="Arial" w:hAnsi="Arial"/>
          <w:sz w:val="17"/>
          <w:szCs w:val="17"/>
          <w:color w:val="auto"/>
        </w:rPr>
      </w:pPr>
    </w:p>
    <w:p>
      <w:pPr>
        <w:ind w:left="2380" w:right="120"/>
        <w:spacing w:after="0" w:line="247" w:lineRule="auto"/>
        <w:rPr>
          <w:rFonts w:ascii="Arial" w:cs="Arial" w:eastAsia="Arial" w:hAnsi="Arial"/>
          <w:sz w:val="17"/>
          <w:szCs w:val="17"/>
          <w:color w:val="auto"/>
        </w:rPr>
      </w:pPr>
      <w:r>
        <w:rPr>
          <w:rFonts w:ascii="Arial" w:cs="Arial" w:eastAsia="Arial" w:hAnsi="Arial"/>
          <w:sz w:val="17"/>
          <w:szCs w:val="17"/>
          <w:color w:val="auto"/>
        </w:rPr>
        <w:t>denominations as requested by such Person, in an aggregate principal amount equal to and in exchange for such Person’s beneficial interest in the Global Security; and</w:t>
      </w:r>
    </w:p>
    <w:p>
      <w:pPr>
        <w:spacing w:after="0" w:line="182" w:lineRule="exact"/>
        <w:rPr>
          <w:rFonts w:ascii="Arial" w:cs="Arial" w:eastAsia="Arial" w:hAnsi="Arial"/>
          <w:sz w:val="17"/>
          <w:szCs w:val="17"/>
          <w:color w:val="auto"/>
        </w:rPr>
      </w:pPr>
    </w:p>
    <w:p>
      <w:pPr>
        <w:jc w:val="both"/>
        <w:ind w:left="2380" w:right="380" w:hanging="595"/>
        <w:spacing w:after="0" w:line="252" w:lineRule="auto"/>
        <w:tabs>
          <w:tab w:leader="none" w:pos="23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to such Depositary a new Global Security in a denomination equal to the difference, if any, between the principal amount of the surrendered Global Security and the aggregate principal amount of Securities authenticated and delivered pursuant to clause (i) above.</w:t>
      </w:r>
    </w:p>
    <w:p>
      <w:pPr>
        <w:spacing w:after="0" w:line="178" w:lineRule="exact"/>
        <w:rPr>
          <w:sz w:val="20"/>
          <w:szCs w:val="20"/>
          <w:color w:val="auto"/>
        </w:rPr>
      </w:pPr>
    </w:p>
    <w:p>
      <w:pPr>
        <w:ind w:firstLine="595"/>
        <w:spacing w:after="0" w:line="293" w:lineRule="auto"/>
        <w:rPr>
          <w:sz w:val="20"/>
          <w:szCs w:val="20"/>
          <w:color w:val="auto"/>
        </w:rPr>
      </w:pPr>
      <w:r>
        <w:rPr>
          <w:rFonts w:ascii="Arial" w:cs="Arial" w:eastAsia="Arial" w:hAnsi="Arial"/>
          <w:sz w:val="15"/>
          <w:szCs w:val="15"/>
          <w:color w:val="auto"/>
        </w:rPr>
        <w:t>Upon the exchange of a Global Security for Securities in definitive registered form, in authorized denominations, such Global Security shall be cancelled by the Trustee. Securities in definitive registered form issued in exchange for a Global Security pursuant to this Section 2.08 shall be registered in such names and in such authorized denominations as the Depositary for such Global Security, pursuant to instructions from its direct or indirect participants or otherwise, shall instruct the Trustee. The Trustee shall deliver such Securities to or as directed by the Persons in whose names such Securities are so registered.</w:t>
      </w:r>
    </w:p>
    <w:p>
      <w:pPr>
        <w:spacing w:after="0" w:line="150" w:lineRule="exact"/>
        <w:rPr>
          <w:sz w:val="20"/>
          <w:szCs w:val="20"/>
          <w:color w:val="auto"/>
        </w:rPr>
      </w:pPr>
    </w:p>
    <w:p>
      <w:pPr>
        <w:ind w:right="360" w:firstLine="595"/>
        <w:spacing w:after="0" w:line="260" w:lineRule="auto"/>
        <w:rPr>
          <w:sz w:val="20"/>
          <w:szCs w:val="20"/>
          <w:color w:val="auto"/>
        </w:rPr>
      </w:pPr>
      <w:r>
        <w:rPr>
          <w:rFonts w:ascii="Arial" w:cs="Arial" w:eastAsia="Arial" w:hAnsi="Arial"/>
          <w:sz w:val="17"/>
          <w:szCs w:val="17"/>
          <w:color w:val="auto"/>
        </w:rPr>
        <w:t>All Securities issued upon any transfer or exchange of Securities shall be valid obligations of the Issuer, evidencing the same debt, and entitled to the same benefits under this Indenture, as the Securities surrendered upon such transfer or exchange.</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3">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180"/>
          </w:cols>
          <w:pgMar w:left="320" w:top="846" w:right="399" w:bottom="1440" w:gutter="0" w:footer="0" w:header="0"/>
        </w:sectPr>
      </w:pPr>
    </w:p>
    <w:bookmarkStart w:id="62" w:name="page63"/>
    <w:bookmarkEnd w:id="62"/>
    <w:p>
      <w:pPr>
        <w:ind w:right="60" w:firstLine="595"/>
        <w:spacing w:after="0" w:line="284" w:lineRule="auto"/>
        <w:rPr>
          <w:sz w:val="20"/>
          <w:szCs w:val="20"/>
          <w:color w:val="auto"/>
        </w:rPr>
      </w:pPr>
      <w:r>
        <w:rPr>
          <w:rFonts w:ascii="Arial" w:cs="Arial" w:eastAsia="Arial" w:hAnsi="Arial"/>
          <w:sz w:val="15"/>
          <w:szCs w:val="15"/>
          <w:color w:val="auto"/>
        </w:rPr>
        <w:t xml:space="preserve">Section 2.09 </w:t>
      </w:r>
      <w:r>
        <w:rPr>
          <w:rFonts w:ascii="Arial" w:cs="Arial" w:eastAsia="Arial" w:hAnsi="Arial"/>
          <w:sz w:val="15"/>
          <w:szCs w:val="15"/>
          <w:i w:val="1"/>
          <w:iCs w:val="1"/>
          <w:color w:val="auto"/>
        </w:rPr>
        <w:t>Mutilated, Defaced, Destroyed, Lost and Stolen Securities</w:t>
      </w:r>
      <w:r>
        <w:rPr>
          <w:rFonts w:ascii="Arial" w:cs="Arial" w:eastAsia="Arial" w:hAnsi="Arial"/>
          <w:sz w:val="15"/>
          <w:szCs w:val="15"/>
          <w:color w:val="auto"/>
        </w:rPr>
        <w:t>. In case any temporary or definitive Security shall become mutilated or defaced or be destroyed, lost or stolen, the Issuer in its discretion may execute, and upon the written request of any officer of the Issuer, the Trustee shall authenticate and deliver a new Security of the same series, maturity date, interest rate and original issue date, bearing a number or other distinguishing symbol not contemporaneously outstanding, in exchange and substitution for the mutilated or defaced Security, or in lieu of and substitution for the Security so destroyed, lost or stolen. In every case the applicant for a substitute Security shall furnish to the Issuer and to the Trustee and any agent of the Issuer or the Trustee such security or indemnity as may be required by them to indemnify and defend and to save each of them harmless and, in every case of destruction, loss or theft, evidence to their satisfaction of the destruction, loss or theft of such Security and of the ownership thereof and in the case of mutilation or defacement shall surrender the Security to the Trustee.</w:t>
      </w:r>
    </w:p>
    <w:p>
      <w:pPr>
        <w:spacing w:after="0" w:line="159" w:lineRule="exact"/>
        <w:rPr>
          <w:sz w:val="20"/>
          <w:szCs w:val="20"/>
          <w:color w:val="auto"/>
        </w:rPr>
      </w:pPr>
    </w:p>
    <w:p>
      <w:pPr>
        <w:ind w:right="80" w:firstLine="595"/>
        <w:spacing w:after="0" w:line="283" w:lineRule="auto"/>
        <w:rPr>
          <w:sz w:val="20"/>
          <w:szCs w:val="20"/>
          <w:color w:val="auto"/>
        </w:rPr>
      </w:pPr>
      <w:r>
        <w:rPr>
          <w:rFonts w:ascii="Arial" w:cs="Arial" w:eastAsia="Arial" w:hAnsi="Arial"/>
          <w:sz w:val="15"/>
          <w:szCs w:val="15"/>
          <w:color w:val="auto"/>
        </w:rPr>
        <w:t>Upon the issuance of any substitute Security, the Issuer may require the payment of a sum sufficient to cover any tax or other governmental charge that may be imposed in relation thereto and any other expenses (including the fees and expenses of the Trustee) connected therewith. In case any Security which has matured or is about to mature or has been called for redemption in full, or is being surrendered for conversion in full, shall become mutilated or defaced or be destroyed, lost or stolen, the Issuer may, instead of issuing a substitute Security (with the Holder’s consent, in the case of convertible Securities), pay or authorize the payment of the same or convert, or authorize conversion of the same (without surrender thereof except in the case of a mutilated or defaced Security), if the applicant for such payment shall furnish to the Issuer and to the Trustee and any agent of the Issuer or the Trustee such security or indemnity as any of them may require to save each of them harmless, and, in every case of destruction, loss or theft, the applicant shall also furnish to the Issuer and the Trustee and any agent of the Issuer or the Trustee evidence to their satisfaction of the destruction, loss or theft of such Security and of the ownership thereof.</w:t>
      </w:r>
    </w:p>
    <w:p>
      <w:pPr>
        <w:spacing w:after="0" w:line="159" w:lineRule="exact"/>
        <w:rPr>
          <w:sz w:val="20"/>
          <w:szCs w:val="20"/>
          <w:color w:val="auto"/>
        </w:rPr>
      </w:pPr>
    </w:p>
    <w:p>
      <w:pPr>
        <w:ind w:firstLine="595"/>
        <w:spacing w:after="0" w:line="284" w:lineRule="auto"/>
        <w:rPr>
          <w:sz w:val="20"/>
          <w:szCs w:val="20"/>
          <w:color w:val="auto"/>
        </w:rPr>
      </w:pPr>
      <w:r>
        <w:rPr>
          <w:rFonts w:ascii="Arial" w:cs="Arial" w:eastAsia="Arial" w:hAnsi="Arial"/>
          <w:sz w:val="15"/>
          <w:szCs w:val="15"/>
          <w:color w:val="auto"/>
        </w:rPr>
        <w:t>Every substitute Security of any series issued pursuant to the provisions of this Section by virtue of the fact that any such Security is destroyed, lost or stolen shall constitute an additional contractual obligation of the Issuer, whether or not the destroyed, lost or stolen Security shall be at any time enforceable by anyone and shall be entitled to all the benefits of (but shall be subject to all the limitations of rights set forth in) this Indenture equally and proportionately with any and all other Securities of such series duly authenticated and delivered hereunder. All Securities shall be held and owned upon the express condition that, to the extent permitted by law, the foregoing provisions are exclusive with respect to the replacement or payment or conversion of mutilated, defaced or destroyed, lost or stolen Securities and shall preclude any and all other rights or remedies notwithstanding any law or statute existing or hereafter enacted to the contrary with respect to the replacement or payment of negotiable instruments or other securities without their surrender.</w:t>
      </w:r>
    </w:p>
    <w:p>
      <w:pPr>
        <w:spacing w:after="0" w:line="159" w:lineRule="exact"/>
        <w:rPr>
          <w:sz w:val="20"/>
          <w:szCs w:val="20"/>
          <w:color w:val="auto"/>
        </w:rPr>
      </w:pPr>
    </w:p>
    <w:p>
      <w:pPr>
        <w:ind w:right="120" w:firstLine="595"/>
        <w:spacing w:after="0" w:line="286" w:lineRule="auto"/>
        <w:rPr>
          <w:sz w:val="20"/>
          <w:szCs w:val="20"/>
          <w:color w:val="auto"/>
        </w:rPr>
      </w:pPr>
      <w:r>
        <w:rPr>
          <w:rFonts w:ascii="Arial" w:cs="Arial" w:eastAsia="Arial" w:hAnsi="Arial"/>
          <w:sz w:val="15"/>
          <w:szCs w:val="15"/>
          <w:color w:val="auto"/>
        </w:rPr>
        <w:t xml:space="preserve">Section 2.10 </w:t>
      </w:r>
      <w:r>
        <w:rPr>
          <w:rFonts w:ascii="Arial" w:cs="Arial" w:eastAsia="Arial" w:hAnsi="Arial"/>
          <w:sz w:val="15"/>
          <w:szCs w:val="15"/>
          <w:i w:val="1"/>
          <w:iCs w:val="1"/>
          <w:color w:val="auto"/>
        </w:rPr>
        <w:t>Cancellation of Securities; Destruction Thereof.</w:t>
      </w:r>
      <w:r>
        <w:rPr>
          <w:rFonts w:ascii="Arial" w:cs="Arial" w:eastAsia="Arial" w:hAnsi="Arial"/>
          <w:sz w:val="15"/>
          <w:szCs w:val="15"/>
          <w:color w:val="auto"/>
        </w:rPr>
        <w:t xml:space="preserve"> All Securities surrendered for exchange for Securities of the same series or for payment, redemption, registration of transfer or conversion or for credit against any payment in respect of a sinking or analogous fund, if surrendered to the Issuer or any agent of the Issuer or the Trustee, shall be delivered to the Trustee for cancellation or, if surrendered to the Trustee, shall be cancelled by it; and no Securities shall be issued in lieu thereof except as expressly permitted by any of the provisions of this Indenture. The Trustee shall dispose of cancelled Securities held by it and deliver a certificate of disposition to the Issuer. If the Issuer shall acquire any of the Securities, such acquisition shall not operate as a redemption or satisfaction of the Debt represented by such Securities unless and until the same are delivered to the Trustee for cancellation.</w:t>
      </w:r>
    </w:p>
    <w:p>
      <w:pPr>
        <w:spacing w:after="0" w:line="35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4">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3" w:name="page64"/>
    <w:bookmarkEnd w:id="63"/>
    <w:p>
      <w:pPr>
        <w:ind w:firstLine="595"/>
        <w:spacing w:after="0" w:line="281" w:lineRule="auto"/>
        <w:rPr>
          <w:sz w:val="20"/>
          <w:szCs w:val="20"/>
          <w:color w:val="auto"/>
        </w:rPr>
      </w:pPr>
      <w:r>
        <w:rPr>
          <w:rFonts w:ascii="Arial" w:cs="Arial" w:eastAsia="Arial" w:hAnsi="Arial"/>
          <w:sz w:val="15"/>
          <w:szCs w:val="15"/>
          <w:color w:val="auto"/>
        </w:rPr>
        <w:t xml:space="preserve">Section 2.11 </w:t>
      </w:r>
      <w:r>
        <w:rPr>
          <w:rFonts w:ascii="Arial" w:cs="Arial" w:eastAsia="Arial" w:hAnsi="Arial"/>
          <w:sz w:val="15"/>
          <w:szCs w:val="15"/>
          <w:i w:val="1"/>
          <w:iCs w:val="1"/>
          <w:color w:val="auto"/>
        </w:rPr>
        <w:t>Temporary Securities.</w:t>
      </w:r>
      <w:r>
        <w:rPr>
          <w:rFonts w:ascii="Arial" w:cs="Arial" w:eastAsia="Arial" w:hAnsi="Arial"/>
          <w:sz w:val="15"/>
          <w:szCs w:val="15"/>
          <w:color w:val="auto"/>
        </w:rPr>
        <w:t xml:space="preserve"> Pending the preparation of definitive Securities for any series, the Issuer may execute and the Trustee shall authenticate and deliver temporary Securities for such series (printed, lithographed, typewritten or otherwise reproduced, in each case in form satisfactory to the Trustee). Temporary Securities of any series shall be issuable in any authorized denomination, and substantially in the form of the definitive Securities of such series but with such omissions, insertions and variations as may be appropriate for temporary Securities, all as may be determined by the Issuer with the concurrence of the Trustee as evidenced by the execution and authentication thereof. Temporary Securities may contain such reference to any provisions of this Indenture as may be appropriate. Every temporary Security shall be executed by the Issuer and be authenticated by the Trustee upon the same conditions and in substantially the same manner, and with like effect, as the definitive Securities. Without unreasonable delay the Issuer shall execute and shall furnish definitive Securities of such series and thereupon temporary Securities of such series may be surrendered in exchange therefor without charge at each office or agency to be maintained by the Issuer for that purpose pursuant to Section 3.02 and the Trustee shall authenticate and deliver in exchange for such temporary Securities of such series an equal aggregate principal amount of definitive Securities of the same series having authorized denominations. Until so exchanged, the temporary Securities of any series shall be entitled to the same benefits under this Indenture as definitive Securities of such series, unless the benefits of the temporary Securities are limited pursuant to Section 2.03.</w:t>
      </w:r>
    </w:p>
    <w:p>
      <w:pPr>
        <w:spacing w:after="0" w:line="160" w:lineRule="exact"/>
        <w:rPr>
          <w:sz w:val="20"/>
          <w:szCs w:val="20"/>
          <w:color w:val="auto"/>
        </w:rPr>
      </w:pPr>
    </w:p>
    <w:p>
      <w:pPr>
        <w:ind w:right="80" w:firstLine="595"/>
        <w:spacing w:after="0" w:line="293" w:lineRule="auto"/>
        <w:rPr>
          <w:sz w:val="20"/>
          <w:szCs w:val="20"/>
          <w:color w:val="auto"/>
        </w:rPr>
      </w:pPr>
      <w:r>
        <w:rPr>
          <w:rFonts w:ascii="Arial" w:cs="Arial" w:eastAsia="Arial" w:hAnsi="Arial"/>
          <w:sz w:val="15"/>
          <w:szCs w:val="15"/>
          <w:color w:val="auto"/>
        </w:rPr>
        <w:t xml:space="preserve">Section 2.12 </w:t>
      </w:r>
      <w:r>
        <w:rPr>
          <w:rFonts w:ascii="Arial" w:cs="Arial" w:eastAsia="Arial" w:hAnsi="Arial"/>
          <w:sz w:val="15"/>
          <w:szCs w:val="15"/>
          <w:i w:val="1"/>
          <w:iCs w:val="1"/>
          <w:color w:val="auto"/>
        </w:rPr>
        <w:t>CUSIP Numbers.</w:t>
      </w:r>
      <w:r>
        <w:rPr>
          <w:rFonts w:ascii="Arial" w:cs="Arial" w:eastAsia="Arial" w:hAnsi="Arial"/>
          <w:sz w:val="15"/>
          <w:szCs w:val="15"/>
          <w:color w:val="auto"/>
        </w:rPr>
        <w:t xml:space="preserve"> The Issuer in issuing the Securities may use “CUSIP” numbers if then generally in use and, if so, the Trustee may use “CUSIP” numbers in notices of redemption as a convenience to Holders. Any such notice may state that no representation is made as to the correctness of such numbers either as printed on the Securities or as contained in any notice of a redemption and that reliance may be placed only on the other identification numbers printed on the Securities. No such redemption shall be affected by any defect in or omission of such numbers.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3</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COVENANTS OF THE ISSUER</w:t>
      </w:r>
    </w:p>
    <w:p>
      <w:pPr>
        <w:spacing w:after="0" w:line="191" w:lineRule="exact"/>
        <w:rPr>
          <w:sz w:val="20"/>
          <w:szCs w:val="20"/>
          <w:color w:val="auto"/>
        </w:rPr>
      </w:pPr>
    </w:p>
    <w:p>
      <w:pPr>
        <w:ind w:right="40" w:firstLine="595"/>
        <w:spacing w:after="0" w:line="247"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i w:val="1"/>
          <w:iCs w:val="1"/>
          <w:color w:val="auto"/>
        </w:rPr>
        <w:t>Payment of Principal and Interest.</w:t>
      </w:r>
      <w:r>
        <w:rPr>
          <w:rFonts w:ascii="Arial" w:cs="Arial" w:eastAsia="Arial" w:hAnsi="Arial"/>
          <w:sz w:val="17"/>
          <w:szCs w:val="17"/>
          <w:color w:val="auto"/>
        </w:rPr>
        <w:t xml:space="preserve"> The Issuer covenants and agrees for the benefit of each series of Securities that it will duly and punctually pay or cause to be paid the principal of, and interest on, each of the Securities of such series (together with any additional amounts payable pursuant to the terms of such Securities) at the place or places, at the respective times and in the manner provided in such Securities and in this Indenture. The interest on Securities (together with any additional amounts payable pursuant to the terms of such Securities) shall be payable only to or upon the written order of the Holders thereof and at the option of the Issuer may be paid by mailing checks for such interest payable to or upon the written order of such Holders at their last addresses as they appear on the Security register of the Issuer.</w:t>
      </w: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5">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20"/>
          </w:cols>
          <w:pgMar w:left="320" w:top="846" w:right="359" w:bottom="1440" w:gutter="0" w:footer="0" w:header="0"/>
        </w:sectPr>
      </w:pPr>
    </w:p>
    <w:bookmarkStart w:id="64" w:name="page65"/>
    <w:bookmarkEnd w:id="64"/>
    <w:p>
      <w:pPr>
        <w:ind w:left="600"/>
        <w:spacing w:after="0"/>
        <w:tabs>
          <w:tab w:leader="none" w:pos="1740" w:val="left"/>
        </w:tabs>
        <w:rPr>
          <w:sz w:val="20"/>
          <w:szCs w:val="20"/>
          <w:color w:val="auto"/>
        </w:rPr>
      </w:pPr>
      <w:r>
        <w:rPr>
          <w:rFonts w:ascii="Arial" w:cs="Arial" w:eastAsia="Arial" w:hAnsi="Arial"/>
          <w:sz w:val="17"/>
          <w:szCs w:val="17"/>
          <w:color w:val="auto"/>
        </w:rPr>
        <w:t>Section 3.02</w:t>
      </w:r>
      <w:r>
        <w:rPr>
          <w:sz w:val="20"/>
          <w:szCs w:val="20"/>
          <w:color w:val="auto"/>
        </w:rPr>
        <w:tab/>
      </w:r>
      <w:r>
        <w:rPr>
          <w:rFonts w:ascii="Arial" w:cs="Arial" w:eastAsia="Arial" w:hAnsi="Arial"/>
          <w:sz w:val="14"/>
          <w:szCs w:val="14"/>
          <w:i w:val="1"/>
          <w:iCs w:val="1"/>
          <w:color w:val="auto"/>
        </w:rPr>
        <w:t>Offices for Payments, Etc</w:t>
      </w:r>
      <w:r>
        <w:rPr>
          <w:rFonts w:ascii="Arial" w:cs="Arial" w:eastAsia="Arial" w:hAnsi="Arial"/>
          <w:sz w:val="14"/>
          <w:szCs w:val="14"/>
          <w:color w:val="auto"/>
        </w:rPr>
        <w:t>. The Issuer will maintain (i) in _______, an agency where the Securities of each series may be presented for</w:t>
      </w:r>
    </w:p>
    <w:p>
      <w:pPr>
        <w:spacing w:after="0" w:line="14" w:lineRule="exact"/>
        <w:rPr>
          <w:sz w:val="20"/>
          <w:szCs w:val="20"/>
          <w:color w:val="auto"/>
        </w:rPr>
      </w:pPr>
    </w:p>
    <w:p>
      <w:pPr>
        <w:jc w:val="both"/>
        <w:ind w:right="100"/>
        <w:spacing w:after="0" w:line="245" w:lineRule="auto"/>
        <w:rPr>
          <w:sz w:val="20"/>
          <w:szCs w:val="20"/>
          <w:color w:val="auto"/>
        </w:rPr>
      </w:pPr>
      <w:r>
        <w:rPr>
          <w:rFonts w:ascii="Arial" w:cs="Arial" w:eastAsia="Arial" w:hAnsi="Arial"/>
          <w:sz w:val="17"/>
          <w:szCs w:val="17"/>
          <w:color w:val="auto"/>
        </w:rPr>
        <w:t>payment, an agency where the Securities of each series may be presented for exchange and conversion, if applicable, as provided in this Indenture and an agency where the Securities of each series may be presented for registration of transfer as in this Indenture provided and (ii) such further agencies in such places as may be determined for the Securities of such series pursuant to Section 2.03.</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Issuer will maintain in __________, an agency where notices and demands to or upon the Issuer in respect of the Securities of any series or this Indenture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may be served.</w:t>
      </w:r>
    </w:p>
    <w:p>
      <w:pPr>
        <w:spacing w:after="0" w:line="191" w:lineRule="exact"/>
        <w:rPr>
          <w:sz w:val="20"/>
          <w:szCs w:val="20"/>
          <w:color w:val="auto"/>
        </w:rPr>
      </w:pPr>
    </w:p>
    <w:p>
      <w:pPr>
        <w:ind w:right="200" w:firstLine="595"/>
        <w:spacing w:after="0" w:line="301" w:lineRule="auto"/>
        <w:rPr>
          <w:sz w:val="20"/>
          <w:szCs w:val="20"/>
          <w:color w:val="auto"/>
        </w:rPr>
      </w:pPr>
      <w:r>
        <w:rPr>
          <w:rFonts w:ascii="Arial" w:cs="Arial" w:eastAsia="Arial" w:hAnsi="Arial"/>
          <w:sz w:val="15"/>
          <w:szCs w:val="15"/>
          <w:color w:val="auto"/>
        </w:rPr>
        <w:t>The Issuer will give to the Trustee written notice of the location of each such agency and of any change of location thereof. In case the Issuer shall fail to maintain any agency required by this Section to be located in __________, or shall fail to give such notice of the location or of any change in the location of any of the above agencies, presentations and demands may be made and notices may be served at the Corporate Trust Office of the Trustee.</w:t>
      </w:r>
    </w:p>
    <w:p>
      <w:pPr>
        <w:spacing w:after="0" w:line="145" w:lineRule="exact"/>
        <w:rPr>
          <w:sz w:val="20"/>
          <w:szCs w:val="20"/>
          <w:color w:val="auto"/>
        </w:rPr>
      </w:pPr>
    </w:p>
    <w:p>
      <w:pPr>
        <w:ind w:firstLine="595"/>
        <w:spacing w:after="0" w:line="288" w:lineRule="auto"/>
        <w:rPr>
          <w:sz w:val="20"/>
          <w:szCs w:val="20"/>
          <w:color w:val="auto"/>
        </w:rPr>
      </w:pPr>
      <w:r>
        <w:rPr>
          <w:rFonts w:ascii="Arial" w:cs="Arial" w:eastAsia="Arial" w:hAnsi="Arial"/>
          <w:sz w:val="15"/>
          <w:szCs w:val="15"/>
          <w:color w:val="auto"/>
        </w:rPr>
        <w:t xml:space="preserve">The Issuer may from time to time designate one or more additional agencies where the Securities of a series may be presented for payment, where the Securities of that series may be presented for exchange or conversion, if applicable, as provided in this Indenture and pursuant to Section 2.03 and where the Securities of that series may be presented for registration of transfer as in this Indenture provided, and the Issuer may from time to time rescind any such designation, as the Issuer may deem desirable or expedient;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no such designation or rescission shall in any manner relieve the Issuer of its obligation to maintain the agencies provided for in this Section. The Issuer will give to the Trustee prompt written notice of any such designation or rescission thereof.</w:t>
      </w:r>
    </w:p>
    <w:p>
      <w:pPr>
        <w:spacing w:after="0" w:line="156" w:lineRule="exact"/>
        <w:rPr>
          <w:sz w:val="20"/>
          <w:szCs w:val="20"/>
          <w:color w:val="auto"/>
        </w:rPr>
      </w:pPr>
    </w:p>
    <w:p>
      <w:pPr>
        <w:ind w:right="420" w:firstLine="595"/>
        <w:spacing w:after="0" w:line="327" w:lineRule="auto"/>
        <w:rPr>
          <w:sz w:val="20"/>
          <w:szCs w:val="20"/>
          <w:color w:val="auto"/>
        </w:rPr>
      </w:pPr>
      <w:r>
        <w:rPr>
          <w:rFonts w:ascii="Arial" w:cs="Arial" w:eastAsia="Arial" w:hAnsi="Arial"/>
          <w:sz w:val="15"/>
          <w:szCs w:val="15"/>
          <w:color w:val="auto"/>
        </w:rPr>
        <w:t xml:space="preserve">Section 3.03 </w:t>
      </w:r>
      <w:r>
        <w:rPr>
          <w:rFonts w:ascii="Arial" w:cs="Arial" w:eastAsia="Arial" w:hAnsi="Arial"/>
          <w:sz w:val="15"/>
          <w:szCs w:val="15"/>
          <w:i w:val="1"/>
          <w:iCs w:val="1"/>
          <w:color w:val="auto"/>
        </w:rPr>
        <w:t>Appointment to Fill a Vacancy in Office of Trustee.</w:t>
      </w:r>
      <w:r>
        <w:rPr>
          <w:rFonts w:ascii="Arial" w:cs="Arial" w:eastAsia="Arial" w:hAnsi="Arial"/>
          <w:sz w:val="15"/>
          <w:szCs w:val="15"/>
          <w:color w:val="auto"/>
        </w:rPr>
        <w:t xml:space="preserve"> The Issuer, whenever necessary to avoid or fill a vacancy in the office of Trustee, will appoint, in the manner provided in Section 6.10, a Trustee, so that there shall at all times be a Trustee with respect to each series of Securities hereunder.</w:t>
      </w:r>
    </w:p>
    <w:p>
      <w:pPr>
        <w:spacing w:after="0" w:line="125" w:lineRule="exact"/>
        <w:rPr>
          <w:sz w:val="20"/>
          <w:szCs w:val="20"/>
          <w:color w:val="auto"/>
        </w:rPr>
      </w:pPr>
    </w:p>
    <w:p>
      <w:pPr>
        <w:ind w:firstLine="595"/>
        <w:spacing w:after="0" w:line="327" w:lineRule="auto"/>
        <w:rPr>
          <w:sz w:val="20"/>
          <w:szCs w:val="20"/>
          <w:color w:val="auto"/>
        </w:rPr>
      </w:pPr>
      <w:r>
        <w:rPr>
          <w:rFonts w:ascii="Arial" w:cs="Arial" w:eastAsia="Arial" w:hAnsi="Arial"/>
          <w:sz w:val="15"/>
          <w:szCs w:val="15"/>
          <w:color w:val="auto"/>
        </w:rPr>
        <w:t xml:space="preserve">Section 3.04 </w:t>
      </w:r>
      <w:r>
        <w:rPr>
          <w:rFonts w:ascii="Arial" w:cs="Arial" w:eastAsia="Arial" w:hAnsi="Arial"/>
          <w:sz w:val="15"/>
          <w:szCs w:val="15"/>
          <w:i w:val="1"/>
          <w:iCs w:val="1"/>
          <w:color w:val="auto"/>
        </w:rPr>
        <w:t>Paying Agents.</w:t>
      </w:r>
      <w:r>
        <w:rPr>
          <w:rFonts w:ascii="Arial" w:cs="Arial" w:eastAsia="Arial" w:hAnsi="Arial"/>
          <w:sz w:val="15"/>
          <w:szCs w:val="15"/>
          <w:color w:val="auto"/>
        </w:rPr>
        <w:t xml:space="preserve"> Whenever the Issuer shall appoint a paying agent other than the Trustee with respect to the Securities of any series, it will cause such paying agent to execute and deliver to the Trustee an instrument in which such agent shall agree with the Trustee, subject to the provisions of this Section,</w:t>
      </w:r>
    </w:p>
    <w:p>
      <w:pPr>
        <w:spacing w:after="0" w:line="125" w:lineRule="exact"/>
        <w:rPr>
          <w:sz w:val="20"/>
          <w:szCs w:val="20"/>
          <w:color w:val="auto"/>
        </w:rPr>
      </w:pPr>
    </w:p>
    <w:p>
      <w:pPr>
        <w:jc w:val="both"/>
        <w:ind w:left="1780" w:right="200" w:hanging="590"/>
        <w:spacing w:after="0" w:line="252" w:lineRule="auto"/>
        <w:tabs>
          <w:tab w:leader="none" w:pos="1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that it will hold all sums received by it as such agent for the payment of the principal of or interest on the Securities of such series (whether such sums have been paid to it by the Issuer or by any other obligor on the Securities of such series) in trust for the benefit of the Holders of the Securities of such series or of the Trustee,</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6">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5" w:name="page66"/>
    <w:bookmarkEnd w:id="65"/>
    <w:p>
      <w:pPr>
        <w:ind w:left="1780" w:hanging="590"/>
        <w:spacing w:after="0" w:line="260" w:lineRule="auto"/>
        <w:tabs>
          <w:tab w:leader="none" w:pos="17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that it will give the Trustee notice of any failure by the Issuer (or by any other obligor on the Securities of such series) to make any payment of the principal of or interest on the Securities of such series when the same shall be due and payable, and</w:t>
      </w:r>
    </w:p>
    <w:p>
      <w:pPr>
        <w:spacing w:after="0" w:line="171" w:lineRule="exact"/>
        <w:rPr>
          <w:rFonts w:ascii="Arial" w:cs="Arial" w:eastAsia="Arial" w:hAnsi="Arial"/>
          <w:sz w:val="17"/>
          <w:szCs w:val="17"/>
          <w:color w:val="auto"/>
        </w:rPr>
      </w:pPr>
    </w:p>
    <w:p>
      <w:pPr>
        <w:ind w:left="1780" w:hanging="590"/>
        <w:spacing w:after="0" w:line="260" w:lineRule="auto"/>
        <w:tabs>
          <w:tab w:leader="none" w:pos="17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that at any time during the continuance of any such failure, upon the written request of the Trustee, it will forthwith pay to the Trustee all sums so held in trust by such paying agent.</w:t>
      </w:r>
    </w:p>
    <w:p>
      <w:pPr>
        <w:spacing w:after="0" w:line="172" w:lineRule="exact"/>
        <w:rPr>
          <w:sz w:val="20"/>
          <w:szCs w:val="20"/>
          <w:color w:val="auto"/>
        </w:rPr>
      </w:pPr>
    </w:p>
    <w:p>
      <w:pPr>
        <w:ind w:right="140" w:firstLine="595"/>
        <w:spacing w:after="0" w:line="327" w:lineRule="auto"/>
        <w:rPr>
          <w:sz w:val="20"/>
          <w:szCs w:val="20"/>
          <w:color w:val="auto"/>
        </w:rPr>
      </w:pPr>
      <w:r>
        <w:rPr>
          <w:rFonts w:ascii="Arial" w:cs="Arial" w:eastAsia="Arial" w:hAnsi="Arial"/>
          <w:sz w:val="15"/>
          <w:szCs w:val="15"/>
          <w:color w:val="auto"/>
        </w:rPr>
        <w:t>The Issuer will, on or prior to each due date of the principal of or interest on the Securities of such series, deposit with the paying agent a sum sufficient to pay such principal or interest so becoming due, and (unless such paying agent is the Trustee) the Issuer will promptly notify the Trustee of any failure to take such action.</w:t>
      </w:r>
    </w:p>
    <w:p>
      <w:pPr>
        <w:spacing w:after="0" w:line="125" w:lineRule="exact"/>
        <w:rPr>
          <w:sz w:val="20"/>
          <w:szCs w:val="20"/>
          <w:color w:val="auto"/>
        </w:rPr>
      </w:pPr>
    </w:p>
    <w:p>
      <w:pPr>
        <w:ind w:right="140" w:firstLine="595"/>
        <w:spacing w:after="0" w:line="252" w:lineRule="auto"/>
        <w:rPr>
          <w:sz w:val="20"/>
          <w:szCs w:val="20"/>
          <w:color w:val="auto"/>
        </w:rPr>
      </w:pPr>
      <w:r>
        <w:rPr>
          <w:rFonts w:ascii="Arial" w:cs="Arial" w:eastAsia="Arial" w:hAnsi="Arial"/>
          <w:sz w:val="17"/>
          <w:szCs w:val="17"/>
          <w:color w:val="auto"/>
        </w:rPr>
        <w:t>If the Issuer shall act as its own paying agent with respect to the Securities of any series, it will, on or before each due date of the principal of or interest on the Securities of such series, set aside, segregate and hold in trust for the benefit of the Holders of the Securities of such series a sum sufficient to pay such principal or interest so becoming due. The Issuer will promptly notify the Trustee of any failure to take such action.</w:t>
      </w:r>
    </w:p>
    <w:p>
      <w:pPr>
        <w:spacing w:after="0" w:line="178" w:lineRule="exact"/>
        <w:rPr>
          <w:sz w:val="20"/>
          <w:szCs w:val="20"/>
          <w:color w:val="auto"/>
        </w:rPr>
      </w:pPr>
    </w:p>
    <w:p>
      <w:pPr>
        <w:ind w:right="40" w:firstLine="595"/>
        <w:spacing w:after="0" w:line="301" w:lineRule="auto"/>
        <w:rPr>
          <w:sz w:val="20"/>
          <w:szCs w:val="20"/>
          <w:color w:val="auto"/>
        </w:rPr>
      </w:pPr>
      <w:r>
        <w:rPr>
          <w:rFonts w:ascii="Arial" w:cs="Arial" w:eastAsia="Arial" w:hAnsi="Arial"/>
          <w:sz w:val="15"/>
          <w:szCs w:val="15"/>
          <w:color w:val="auto"/>
        </w:rPr>
        <w:t>Anything in this Section to the contrary notwithstanding, but subject to Section 10.01, the Issuer may at any time, for the purpose of obtaining a satisfaction and discharge with respect to one or more or all series of Securities hereunder, or for any other reason, pay or cause to be paid to the Trustee all sums held in trust for any such series by the Issuer or any paying agent hereunder, as required by this Section, such sums to be held by the Trustee upon the trusts herein contained.</w:t>
      </w:r>
    </w:p>
    <w:p>
      <w:pPr>
        <w:spacing w:after="0" w:line="145" w:lineRule="exact"/>
        <w:rPr>
          <w:sz w:val="20"/>
          <w:szCs w:val="20"/>
          <w:color w:val="auto"/>
        </w:rPr>
      </w:pPr>
    </w:p>
    <w:p>
      <w:pPr>
        <w:ind w:right="120" w:firstLine="595"/>
        <w:spacing w:after="0" w:line="260" w:lineRule="auto"/>
        <w:rPr>
          <w:sz w:val="20"/>
          <w:szCs w:val="20"/>
          <w:color w:val="auto"/>
        </w:rPr>
      </w:pPr>
      <w:r>
        <w:rPr>
          <w:rFonts w:ascii="Arial" w:cs="Arial" w:eastAsia="Arial" w:hAnsi="Arial"/>
          <w:sz w:val="17"/>
          <w:szCs w:val="17"/>
          <w:color w:val="auto"/>
        </w:rPr>
        <w:t>Anything in this Section to the contrary notwithstanding, the agreement to hold sums in trust as provided in this Section is subject to the provisions of Sections 10.03 and 10.04.</w:t>
      </w:r>
    </w:p>
    <w:p>
      <w:pPr>
        <w:spacing w:after="0" w:line="172" w:lineRule="exact"/>
        <w:rPr>
          <w:sz w:val="20"/>
          <w:szCs w:val="20"/>
          <w:color w:val="auto"/>
        </w:rPr>
      </w:pPr>
    </w:p>
    <w:p>
      <w:pPr>
        <w:ind w:right="20" w:firstLine="595"/>
        <w:spacing w:after="0" w:line="288" w:lineRule="auto"/>
        <w:rPr>
          <w:sz w:val="20"/>
          <w:szCs w:val="20"/>
          <w:color w:val="auto"/>
        </w:rPr>
      </w:pPr>
      <w:r>
        <w:rPr>
          <w:rFonts w:ascii="Arial" w:cs="Arial" w:eastAsia="Arial" w:hAnsi="Arial"/>
          <w:sz w:val="15"/>
          <w:szCs w:val="15"/>
          <w:color w:val="auto"/>
        </w:rPr>
        <w:t xml:space="preserve">Section 3.05 </w:t>
      </w:r>
      <w:r>
        <w:rPr>
          <w:rFonts w:ascii="Arial" w:cs="Arial" w:eastAsia="Arial" w:hAnsi="Arial"/>
          <w:sz w:val="15"/>
          <w:szCs w:val="15"/>
          <w:i w:val="1"/>
          <w:iCs w:val="1"/>
          <w:color w:val="auto"/>
        </w:rPr>
        <w:t>Written Statement to Trustee.</w:t>
      </w:r>
      <w:r>
        <w:rPr>
          <w:rFonts w:ascii="Arial" w:cs="Arial" w:eastAsia="Arial" w:hAnsi="Arial"/>
          <w:sz w:val="15"/>
          <w:szCs w:val="15"/>
          <w:color w:val="auto"/>
        </w:rPr>
        <w:t xml:space="preserve"> So long as any Securities are Outstanding hereunder, the Issuer will deliver to the Trustee, within 120 days after the end of each fiscal year of the Issuer ending after the date hereof, a written certificate covering the previous fiscal year, (which need not comply with Section 11.05), signed by its principal executive officer, principal financial officer or principal accounting officer, stating whether or not, to the best knowledge of such officer, the Issuer is in default in the performance and observance of any of the terms, provisions and conditions of this Indenture (without regard to any period of grace or requirement of notice provided hereunder) and, if the Issuer shall be in default, specifying all such defaults and the nature and status thereof of which they may have knowledge.</w:t>
      </w: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7">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20"/>
          </w:cols>
          <w:pgMar w:left="320" w:top="846" w:right="359" w:bottom="1440" w:gutter="0" w:footer="0" w:header="0"/>
        </w:sectPr>
      </w:pPr>
    </w:p>
    <w:bookmarkStart w:id="66" w:name="page67"/>
    <w:bookmarkEnd w:id="66"/>
    <w:p>
      <w:pPr>
        <w:jc w:val="center"/>
        <w:spacing w:after="0"/>
        <w:rPr>
          <w:sz w:val="20"/>
          <w:szCs w:val="20"/>
          <w:color w:val="auto"/>
        </w:rPr>
      </w:pPr>
      <w:r>
        <w:rPr>
          <w:rFonts w:ascii="Arial" w:cs="Arial" w:eastAsia="Arial" w:hAnsi="Arial"/>
          <w:sz w:val="17"/>
          <w:szCs w:val="17"/>
          <w:color w:val="auto"/>
        </w:rPr>
        <w:t>ARTICLE 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SECURITYHOLDERS LISTS AND REPORTS BY THE ISSUER AND THE TRUSTEE</w:t>
      </w:r>
    </w:p>
    <w:p>
      <w:pPr>
        <w:spacing w:after="0" w:line="191" w:lineRule="exact"/>
        <w:rPr>
          <w:sz w:val="20"/>
          <w:szCs w:val="20"/>
          <w:color w:val="auto"/>
        </w:rPr>
      </w:pPr>
    </w:p>
    <w:p>
      <w:pPr>
        <w:jc w:val="both"/>
        <w:ind w:right="240" w:firstLine="595"/>
        <w:spacing w:after="0" w:line="252"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i w:val="1"/>
          <w:iCs w:val="1"/>
          <w:color w:val="auto"/>
        </w:rPr>
        <w:t>Issuer to Furnish Trustee Information as to Names and Addresses of Securityholders.</w:t>
      </w:r>
      <w:r>
        <w:rPr>
          <w:rFonts w:ascii="Arial" w:cs="Arial" w:eastAsia="Arial" w:hAnsi="Arial"/>
          <w:sz w:val="17"/>
          <w:szCs w:val="17"/>
          <w:color w:val="auto"/>
        </w:rPr>
        <w:t xml:space="preserve"> The Issuer covenants and agrees that it will furnish or cause to be furnished to the Trustee a list in such form as the Trustee may reasonably require of the names and addresses of the Holders of the Securities of each series pursuant to Section 312 of the Trust Indenture Act of 1939:</w:t>
      </w:r>
    </w:p>
    <w:p>
      <w:pPr>
        <w:spacing w:after="0" w:line="178" w:lineRule="exact"/>
        <w:rPr>
          <w:sz w:val="20"/>
          <w:szCs w:val="20"/>
          <w:color w:val="auto"/>
        </w:rPr>
      </w:pPr>
    </w:p>
    <w:p>
      <w:pPr>
        <w:ind w:left="1780" w:right="160" w:hanging="590"/>
        <w:spacing w:after="0" w:line="327" w:lineRule="auto"/>
        <w:tabs>
          <w:tab w:leader="none" w:pos="17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semiannually and not more than 15 days after each record date for the payment of interest on such Securities, as hereinabove specified, as of such record date and on dates to be determined pursuant to Section 2.03 for non-interest bearing Securities in each year, and</w:t>
      </w:r>
    </w:p>
    <w:p>
      <w:pPr>
        <w:spacing w:after="0" w:line="125" w:lineRule="exact"/>
        <w:rPr>
          <w:rFonts w:ascii="Arial" w:cs="Arial" w:eastAsia="Arial" w:hAnsi="Arial"/>
          <w:sz w:val="15"/>
          <w:szCs w:val="15"/>
          <w:color w:val="auto"/>
        </w:rPr>
      </w:pPr>
    </w:p>
    <w:p>
      <w:pPr>
        <w:ind w:left="1780" w:right="200" w:hanging="590"/>
        <w:spacing w:after="0" w:line="252" w:lineRule="auto"/>
        <w:tabs>
          <w:tab w:leader="none" w:pos="17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at such other times as the Trustee may request in writing, within 30 days after receipt by the Issuer of any such request as of a date not more than 15 days prior to the time such information is furnished,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and so long as the Trustee shall be the Security registrar (the </w:t>
      </w:r>
      <w:r>
        <w:rPr>
          <w:rFonts w:ascii="Arial" w:cs="Arial" w:eastAsia="Arial" w:hAnsi="Arial"/>
          <w:sz w:val="17"/>
          <w:szCs w:val="17"/>
          <w:b w:val="1"/>
          <w:bCs w:val="1"/>
          <w:color w:val="auto"/>
        </w:rPr>
        <w:t>“Security Registrar”</w:t>
      </w:r>
      <w:r>
        <w:rPr>
          <w:rFonts w:ascii="Arial" w:cs="Arial" w:eastAsia="Arial" w:hAnsi="Arial"/>
          <w:sz w:val="17"/>
          <w:szCs w:val="17"/>
          <w:color w:val="auto"/>
        </w:rPr>
        <w:t>) for such series, such list shall not be required to be furnished.</w:t>
      </w:r>
    </w:p>
    <w:p>
      <w:pPr>
        <w:spacing w:after="0" w:line="178" w:lineRule="exact"/>
        <w:rPr>
          <w:sz w:val="20"/>
          <w:szCs w:val="20"/>
          <w:color w:val="auto"/>
        </w:rPr>
      </w:pPr>
    </w:p>
    <w:p>
      <w:pPr>
        <w:ind w:right="360" w:firstLine="595"/>
        <w:spacing w:after="0" w:line="252"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i w:val="1"/>
          <w:iCs w:val="1"/>
          <w:color w:val="auto"/>
        </w:rPr>
        <w:t>Reports by the Issuer.</w:t>
      </w:r>
      <w:r>
        <w:rPr>
          <w:rFonts w:ascii="Arial" w:cs="Arial" w:eastAsia="Arial" w:hAnsi="Arial"/>
          <w:sz w:val="17"/>
          <w:szCs w:val="17"/>
          <w:color w:val="auto"/>
        </w:rPr>
        <w:t xml:space="preserve"> The Issuer covenants to comply with Section 314(a) of the Trust Indenture Act of 1939 insofar as it relates to information, documentation and other reports which the Issuer may be required to file with the Commission pursuant to Section 13 or Section 15(d) of the Securities Exchange Act of 1934, as amended.</w:t>
      </w:r>
    </w:p>
    <w:p>
      <w:pPr>
        <w:spacing w:after="0" w:line="178"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color w:val="auto"/>
        </w:rPr>
        <w:t>Section 4.03</w:t>
      </w:r>
      <w:r>
        <w:rPr>
          <w:sz w:val="20"/>
          <w:szCs w:val="20"/>
          <w:color w:val="auto"/>
        </w:rPr>
        <w:tab/>
      </w:r>
      <w:r>
        <w:rPr>
          <w:rFonts w:ascii="Arial" w:cs="Arial" w:eastAsia="Arial" w:hAnsi="Arial"/>
          <w:sz w:val="14"/>
          <w:szCs w:val="14"/>
          <w:i w:val="1"/>
          <w:iCs w:val="1"/>
          <w:color w:val="auto"/>
        </w:rPr>
        <w:t xml:space="preserve">Reports by the Trustee. </w:t>
      </w:r>
      <w:r>
        <w:rPr>
          <w:rFonts w:ascii="Arial" w:cs="Arial" w:eastAsia="Arial" w:hAnsi="Arial"/>
          <w:sz w:val="14"/>
          <w:szCs w:val="14"/>
          <w:color w:val="auto"/>
        </w:rPr>
        <w:t>Any Trustee’s report required under Section 313(a) of the Trust Indenture Act of 1939 shall be transmitted on or before</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______ in each year following the date hereof, so long as any Securities are Outstanding hereunder, and shall be dated as of a date convenient to the Trustee but no more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than 60 nor less than 45 days prior thereto. The Trustee shall comply with Sections 313(b), 313(c) and 313(d) of the Trust Indenture Act of 1939.</w:t>
      </w:r>
    </w:p>
    <w:p>
      <w:pPr>
        <w:spacing w:after="0" w:line="191" w:lineRule="exact"/>
        <w:rPr>
          <w:sz w:val="20"/>
          <w:szCs w:val="20"/>
          <w:color w:val="auto"/>
        </w:rPr>
      </w:pPr>
    </w:p>
    <w:p>
      <w:pPr>
        <w:ind w:right="160" w:firstLine="595"/>
        <w:spacing w:after="0" w:line="301" w:lineRule="auto"/>
        <w:rPr>
          <w:sz w:val="20"/>
          <w:szCs w:val="20"/>
          <w:color w:val="auto"/>
        </w:rPr>
      </w:pPr>
      <w:r>
        <w:rPr>
          <w:rFonts w:ascii="Arial" w:cs="Arial" w:eastAsia="Arial" w:hAnsi="Arial"/>
          <w:sz w:val="15"/>
          <w:szCs w:val="15"/>
          <w:color w:val="auto"/>
        </w:rPr>
        <w:t xml:space="preserve">Section 4.04 </w:t>
      </w:r>
      <w:r>
        <w:rPr>
          <w:rFonts w:ascii="Arial" w:cs="Arial" w:eastAsia="Arial" w:hAnsi="Arial"/>
          <w:sz w:val="15"/>
          <w:szCs w:val="15"/>
          <w:i w:val="1"/>
          <w:iCs w:val="1"/>
          <w:color w:val="auto"/>
        </w:rPr>
        <w:t>Preservation of Information; Communication with Securityholders.</w:t>
      </w:r>
      <w:r>
        <w:rPr>
          <w:rFonts w:ascii="Arial" w:cs="Arial" w:eastAsia="Arial" w:hAnsi="Arial"/>
          <w:sz w:val="15"/>
          <w:szCs w:val="15"/>
          <w:color w:val="auto"/>
        </w:rPr>
        <w:t xml:space="preserve"> (a) The Trustee shall preserve, in as current a form as is reasonably practicable, all information as to the names and addresses of the Holders of Securities contained in the most recent list furnished to it as provided in Section 4.01 and as to the names and addresses of holders of Securities received by the Trustee in its capacity as Security Registrar (if acting in such capacity).</w:t>
      </w:r>
    </w:p>
    <w:p>
      <w:pPr>
        <w:spacing w:after="0" w:line="145" w:lineRule="exact"/>
        <w:rPr>
          <w:sz w:val="20"/>
          <w:szCs w:val="20"/>
          <w:color w:val="auto"/>
        </w:rPr>
      </w:pPr>
    </w:p>
    <w:p>
      <w:pPr>
        <w:ind w:left="1780" w:hanging="590"/>
        <w:spacing w:after="0"/>
        <w:tabs>
          <w:tab w:leader="none" w:pos="17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Trustee may destroy any list furnished to it as provided in Section 4.01 upon receipt of a new list so furnished.</w:t>
      </w:r>
    </w:p>
    <w:p>
      <w:pPr>
        <w:spacing w:after="0" w:line="201" w:lineRule="exact"/>
        <w:rPr>
          <w:rFonts w:ascii="Arial" w:cs="Arial" w:eastAsia="Arial" w:hAnsi="Arial"/>
          <w:sz w:val="17"/>
          <w:szCs w:val="17"/>
          <w:color w:val="auto"/>
        </w:rPr>
      </w:pPr>
    </w:p>
    <w:p>
      <w:pPr>
        <w:ind w:left="1780" w:right="40" w:hanging="590"/>
        <w:spacing w:after="0" w:line="252" w:lineRule="auto"/>
        <w:tabs>
          <w:tab w:leader="none" w:pos="17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Securityholders may communicate as provided in Section 312(b) of the Trust Indenture Act of 1939 with other Securityholders with respect to their rights under this Indenture or under the Securities. The Issuer, the Trustee, the Security Registrar and any other Person shall have the protection of Section 312(c) of the Trust Indenture Act of 1939.</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REMEDIES OF THE TRUSTEE AND SECURITYHOLDERS ON EVENT OF DEFAULT</w:t>
      </w:r>
    </w:p>
    <w:p>
      <w:pPr>
        <w:spacing w:after="0" w:line="187" w:lineRule="exact"/>
        <w:rPr>
          <w:sz w:val="20"/>
          <w:szCs w:val="20"/>
          <w:color w:val="auto"/>
        </w:rPr>
      </w:pPr>
    </w:p>
    <w:p>
      <w:pPr>
        <w:ind w:firstLine="595"/>
        <w:spacing w:after="0" w:line="250"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i w:val="1"/>
          <w:iCs w:val="1"/>
          <w:color w:val="auto"/>
        </w:rPr>
        <w:t>Event of Default Defined; Acceleration of Maturity; Waiver of Default.</w:t>
      </w:r>
      <w:r>
        <w:rPr>
          <w:rFonts w:ascii="Arial" w:cs="Arial" w:eastAsia="Arial" w:hAnsi="Arial"/>
          <w:sz w:val="17"/>
          <w:szCs w:val="17"/>
          <w:color w:val="auto"/>
        </w:rPr>
        <w:t xml:space="preserve"> “</w:t>
      </w:r>
      <w:r>
        <w:rPr>
          <w:rFonts w:ascii="Arial" w:cs="Arial" w:eastAsia="Arial" w:hAnsi="Arial"/>
          <w:sz w:val="17"/>
          <w:szCs w:val="17"/>
          <w:b w:val="1"/>
          <w:bCs w:val="1"/>
          <w:color w:val="auto"/>
        </w:rPr>
        <w:t>Event of Default</w:t>
      </w:r>
      <w:r>
        <w:rPr>
          <w:rFonts w:ascii="Arial" w:cs="Arial" w:eastAsia="Arial" w:hAnsi="Arial"/>
          <w:sz w:val="17"/>
          <w:szCs w:val="17"/>
          <w:color w:val="auto"/>
        </w:rPr>
        <w:t>”, with respect to Securities of any series wherever used herein, means any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82" w:lineRule="exact"/>
        <w:rPr>
          <w:sz w:val="20"/>
          <w:szCs w:val="20"/>
          <w:color w:val="auto"/>
        </w:rPr>
      </w:pPr>
    </w:p>
    <w:p>
      <w:pPr>
        <w:ind w:left="1780" w:right="20" w:hanging="590"/>
        <w:spacing w:after="0" w:line="252" w:lineRule="auto"/>
        <w:tabs>
          <w:tab w:leader="none" w:pos="17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default in the payment of any installment of interest upon any of the Securities of such series as and when the same shall become due and payable, and continuance of such default for a period of 30 days (or such other period as may be established for the Securities of such series as contemplated by Section 2.03); or</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8">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7" w:name="page68"/>
    <w:bookmarkEnd w:id="67"/>
    <w:p>
      <w:pPr>
        <w:ind w:left="1780" w:right="160" w:hanging="590"/>
        <w:spacing w:after="0" w:line="252" w:lineRule="auto"/>
        <w:tabs>
          <w:tab w:leader="none" w:pos="17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default in the payment of all or any part of the principal on any of the Securities of such series as and when the same shall become due and payable either at maturity, upon redemption, by declaration or otherwise (and, if established for the Securities of such series as contemplated by Section 2.03, the continuance of such default for a specified period); or</w:t>
      </w:r>
    </w:p>
    <w:p>
      <w:pPr>
        <w:spacing w:after="0" w:line="178" w:lineRule="exact"/>
        <w:rPr>
          <w:rFonts w:ascii="Arial" w:cs="Arial" w:eastAsia="Arial" w:hAnsi="Arial"/>
          <w:sz w:val="17"/>
          <w:szCs w:val="17"/>
          <w:color w:val="auto"/>
        </w:rPr>
      </w:pPr>
    </w:p>
    <w:p>
      <w:pPr>
        <w:ind w:left="1780" w:right="100" w:hanging="590"/>
        <w:spacing w:after="0" w:line="247" w:lineRule="auto"/>
        <w:tabs>
          <w:tab w:leader="none" w:pos="17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default in the performance, or breach, of any covenant or agreement of the Issuer in respect of the Securities of such series (other than a covenant or agreement in respect of the Securities of such series a default in the performance or breach of which is elsewhere in this Section specifically dealt with), and continuance of such default or breach for a period of 90 days after there has been given, by registered or certified mail, to the Issuer by the Trustee or to the Issuer and the Trustee by the Holders of at least 25% in principal amount of the Outstanding Securities of such series, a written notice specifying such default or breach and requiring it to be remedied and stating that such notice is a “</w:t>
      </w:r>
      <w:r>
        <w:rPr>
          <w:rFonts w:ascii="Arial" w:cs="Arial" w:eastAsia="Arial" w:hAnsi="Arial"/>
          <w:sz w:val="17"/>
          <w:szCs w:val="17"/>
          <w:b w:val="1"/>
          <w:bCs w:val="1"/>
          <w:color w:val="auto"/>
        </w:rPr>
        <w:t>Notice of Default</w:t>
      </w:r>
      <w:r>
        <w:rPr>
          <w:rFonts w:ascii="Arial" w:cs="Arial" w:eastAsia="Arial" w:hAnsi="Arial"/>
          <w:sz w:val="17"/>
          <w:szCs w:val="17"/>
          <w:color w:val="auto"/>
        </w:rPr>
        <w:t>” hereunder; or</w:t>
      </w:r>
    </w:p>
    <w:p>
      <w:pPr>
        <w:spacing w:after="0" w:line="182" w:lineRule="exact"/>
        <w:rPr>
          <w:rFonts w:ascii="Arial" w:cs="Arial" w:eastAsia="Arial" w:hAnsi="Arial"/>
          <w:sz w:val="17"/>
          <w:szCs w:val="17"/>
          <w:color w:val="auto"/>
        </w:rPr>
      </w:pPr>
    </w:p>
    <w:p>
      <w:pPr>
        <w:ind w:left="1780" w:right="280" w:hanging="590"/>
        <w:spacing w:after="0" w:line="293" w:lineRule="auto"/>
        <w:tabs>
          <w:tab w:leader="none" w:pos="17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a court having jurisdiction in the premises shall enter a decree or order for relief in respect of the Issuer in an involuntary case under any applicable bankruptcy, insolvency or other similar law now or hereafter in effect, or appointing a receiver, liquidator, assignee, custodian, trustee or sequestrator (or similar official) of the Issuer or for all or substantially all of its property and assets or ordering the winding up or liquidation of its affairs, and such decree or order shall remain unstayed and in effect for a period of 90 consecutive days; or</w:t>
      </w:r>
    </w:p>
    <w:p>
      <w:pPr>
        <w:spacing w:after="0" w:line="149" w:lineRule="exact"/>
        <w:rPr>
          <w:rFonts w:ascii="Arial" w:cs="Arial" w:eastAsia="Arial" w:hAnsi="Arial"/>
          <w:sz w:val="15"/>
          <w:szCs w:val="15"/>
          <w:color w:val="auto"/>
        </w:rPr>
      </w:pPr>
    </w:p>
    <w:p>
      <w:pPr>
        <w:ind w:left="1780" w:right="20" w:hanging="590"/>
        <w:spacing w:after="0" w:line="293" w:lineRule="auto"/>
        <w:tabs>
          <w:tab w:leader="none" w:pos="17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Issuer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liquidator, assignee, custodian, trustee or sequestrator (or similar official) of the Issuer or for any substantial part of its property and assets, or make any general assignment for the benefit of creditors; or</w:t>
      </w:r>
    </w:p>
    <w:p>
      <w:pPr>
        <w:spacing w:after="0" w:line="149" w:lineRule="exact"/>
        <w:rPr>
          <w:rFonts w:ascii="Arial" w:cs="Arial" w:eastAsia="Arial" w:hAnsi="Arial"/>
          <w:sz w:val="15"/>
          <w:szCs w:val="15"/>
          <w:color w:val="auto"/>
        </w:rPr>
      </w:pPr>
    </w:p>
    <w:p>
      <w:pPr>
        <w:ind w:left="1780" w:hanging="590"/>
        <w:spacing w:after="0"/>
        <w:tabs>
          <w:tab w:leader="none" w:pos="17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any other Event of Default provided for in such series of Securities.</w:t>
      </w:r>
    </w:p>
    <w:p>
      <w:pPr>
        <w:spacing w:after="0" w:line="201" w:lineRule="exact"/>
        <w:rPr>
          <w:sz w:val="20"/>
          <w:szCs w:val="20"/>
          <w:color w:val="auto"/>
        </w:rPr>
      </w:pPr>
    </w:p>
    <w:p>
      <w:pPr>
        <w:ind w:firstLine="595"/>
        <w:spacing w:after="0" w:line="283" w:lineRule="auto"/>
        <w:rPr>
          <w:sz w:val="20"/>
          <w:szCs w:val="20"/>
          <w:color w:val="auto"/>
        </w:rPr>
      </w:pPr>
      <w:r>
        <w:rPr>
          <w:rFonts w:ascii="Arial" w:cs="Arial" w:eastAsia="Arial" w:hAnsi="Arial"/>
          <w:sz w:val="15"/>
          <w:szCs w:val="15"/>
          <w:color w:val="auto"/>
        </w:rPr>
        <w:t>If an Event of Default described in clauses (a), (b), (c) or (f) occurs and is continuing, then, and in each and every such case, unless the principal of all of the Securities of such series shall have already become due and payable, either the Trustee or the Holders of not less than 25% in aggregate principal amount of the Securities of such series then Outstanding hereunder (each such series voting as a separate class) by notice in writing to the Issuer (and also to the Trustee if given by Securityholders), may declare the entire principal (or, if the Securities of such series are Original Issue Discount Securities, such portion of the principal amount as may be specified in the terms of such series) of all Securities of such series and the interest accrued thereon, if any, to be due and payable immediately, and upon any such declaration the same shall become immediately due and payable. If an Event of Default described in clauses (d) or (e) occurs and is continuing, then and in each and every such case, the entire principal (or, if any Securities are Original Issue Discount Securities, such portion of the principal as may be specified in the terms thereof) of all the Securities then Outstanding and interest accrued thereon, if any, shall automatically become immediately due and payable.</w:t>
      </w:r>
    </w:p>
    <w:p>
      <w:pPr>
        <w:spacing w:after="0" w:line="35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9">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8" w:name="page69"/>
    <w:bookmarkEnd w:id="68"/>
    <w:p>
      <w:pPr>
        <w:ind w:firstLine="595"/>
        <w:spacing w:after="0" w:line="303" w:lineRule="auto"/>
        <w:rPr>
          <w:sz w:val="20"/>
          <w:szCs w:val="20"/>
          <w:color w:val="auto"/>
        </w:rPr>
      </w:pPr>
      <w:r>
        <w:rPr>
          <w:rFonts w:ascii="Arial" w:cs="Arial" w:eastAsia="Arial" w:hAnsi="Arial"/>
          <w:sz w:val="14"/>
          <w:szCs w:val="14"/>
          <w:color w:val="auto"/>
        </w:rPr>
        <w:t>The foregoing provisions, however, are subject to the condition that if, at any time after the principal of the Securities of any series shall have been so declared due and payable, and before any judgment or decree for the payment of the moneys due shall have been obtained or entered as hereinafter provided, the Issuer shall pay or shall deposit with the Trustee a sum sufficient to pay all matured installments of interest upon all the Securities of such series and the principal of any and all Securities of such series which shall have become due otherwise than by acceleration (with interest upon such principal and, to the extent that payment of such interest is enforceable under applicable law, on overdue installments of interest, at the same rate as the rate of interest specified in the Securities of such series to the date of such payment or deposit) and such amount as shall be sufficient to cover reasonable compensation to the Trustee, its agents, attorneys and counsel, and all other expenses and liabilities incurred, and all advances made, by the Trustee except as a result of negligence or bad faith, and if any and all Events of Default under the Indenture with respect to such series, other than the non-payment of the principal of Securities of such series which shall have become due solely by such acceleration, shall have been cured, waived or otherwise remedied as provided herein, then and in every such case the Holders of a majority in aggregate principal amount of all the Securities of such series then Outstanding, by written notice to the Issuer and to the Trustee, may waive all defaults with respect to such series and rescind and annul such declaration and its consequences, but no such waiver or rescission and annulment shall extend to or shall affect any subsequent default or shall impair any right consequent thereon.</w:t>
      </w:r>
    </w:p>
    <w:p>
      <w:pPr>
        <w:spacing w:after="0" w:line="146" w:lineRule="exact"/>
        <w:rPr>
          <w:sz w:val="20"/>
          <w:szCs w:val="20"/>
          <w:color w:val="auto"/>
        </w:rPr>
      </w:pPr>
    </w:p>
    <w:p>
      <w:pPr>
        <w:ind w:right="20" w:firstLine="595"/>
        <w:spacing w:after="0" w:line="286" w:lineRule="auto"/>
        <w:rPr>
          <w:sz w:val="20"/>
          <w:szCs w:val="20"/>
          <w:color w:val="auto"/>
        </w:rPr>
      </w:pPr>
      <w:r>
        <w:rPr>
          <w:rFonts w:ascii="Arial" w:cs="Arial" w:eastAsia="Arial" w:hAnsi="Arial"/>
          <w:sz w:val="15"/>
          <w:szCs w:val="15"/>
          <w:color w:val="auto"/>
        </w:rPr>
        <w:t>Unless otherwise indicated in the Board Resolution, Officer’s Certificate or supplemental indenture for a series of Original Issue Discount Securities, 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56" w:lineRule="exact"/>
        <w:rPr>
          <w:sz w:val="20"/>
          <w:szCs w:val="20"/>
          <w:color w:val="auto"/>
        </w:rPr>
      </w:pPr>
    </w:p>
    <w:p>
      <w:pPr>
        <w:ind w:right="60" w:firstLine="595"/>
        <w:spacing w:after="0" w:line="281" w:lineRule="auto"/>
        <w:rPr>
          <w:sz w:val="20"/>
          <w:szCs w:val="20"/>
          <w:color w:val="auto"/>
        </w:rPr>
      </w:pPr>
      <w:r>
        <w:rPr>
          <w:rFonts w:ascii="Arial" w:cs="Arial" w:eastAsia="Arial" w:hAnsi="Arial"/>
          <w:sz w:val="15"/>
          <w:szCs w:val="15"/>
          <w:color w:val="auto"/>
        </w:rPr>
        <w:t xml:space="preserve">Section 5.02 </w:t>
      </w:r>
      <w:r>
        <w:rPr>
          <w:rFonts w:ascii="Arial" w:cs="Arial" w:eastAsia="Arial" w:hAnsi="Arial"/>
          <w:sz w:val="15"/>
          <w:szCs w:val="15"/>
          <w:i w:val="1"/>
          <w:iCs w:val="1"/>
          <w:color w:val="auto"/>
        </w:rPr>
        <w:t>Collection of Debt by Trustee; Trustee May Prove Debt.</w:t>
      </w:r>
      <w:r>
        <w:rPr>
          <w:rFonts w:ascii="Arial" w:cs="Arial" w:eastAsia="Arial" w:hAnsi="Arial"/>
          <w:sz w:val="15"/>
          <w:szCs w:val="15"/>
          <w:color w:val="auto"/>
        </w:rPr>
        <w:t xml:space="preserve"> The Issuer covenants that (a) in case default shall be made in the payment of any installment of interest on any of the Securities of any series when such interest shall have become due and payable, and such default shall have continued for a period of 30 days or (b) in case default shall be made in the payment of all or any part of the principal of any of the Securities of any series when the same shall have become due and payable, whether upon maturity of the Securities of such series or upon any redemption or by declaration or otherwise, then, upon demand of the Trustee, the Issuer will pay to the Trustee for the benefit of the Holders of the Securities of such series the whole amount that then shall have become due and payable on all Securities of such series for principal or interest, as the case may be (with interest to the date of such payment upon the overdue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and, in addition thereto, such further amount as shall be sufficient to cover the costs and expenses of collection, including reasonable compensation to the Trustee and each predecessor trustee, their respective agents, attorneys and counsel, and any expenses and liabilities incurred, and all advances made, by the Trustee and each predecessor trustee except as a result of its negligence or bad faith.</w:t>
      </w:r>
    </w:p>
    <w:p>
      <w:pPr>
        <w:spacing w:after="0" w:line="36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0">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9" w:name="page70"/>
    <w:bookmarkEnd w:id="69"/>
    <w:p>
      <w:pPr>
        <w:ind w:firstLine="595"/>
        <w:spacing w:after="0" w:line="293" w:lineRule="auto"/>
        <w:rPr>
          <w:sz w:val="20"/>
          <w:szCs w:val="20"/>
          <w:color w:val="auto"/>
        </w:rPr>
      </w:pPr>
      <w:r>
        <w:rPr>
          <w:rFonts w:ascii="Arial" w:cs="Arial" w:eastAsia="Arial" w:hAnsi="Arial"/>
          <w:sz w:val="15"/>
          <w:szCs w:val="15"/>
          <w:color w:val="auto"/>
        </w:rPr>
        <w:t>In case the Issuer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Issuer or other obligor upon such Securities and collect in the manner provided by law out of the property of the Issuer or other obligor upon such Securities, wherever situated, the moneys adjudged or decreed to be payable.</w:t>
      </w:r>
    </w:p>
    <w:p>
      <w:pPr>
        <w:spacing w:after="0" w:line="150" w:lineRule="exact"/>
        <w:rPr>
          <w:sz w:val="20"/>
          <w:szCs w:val="20"/>
          <w:color w:val="auto"/>
        </w:rPr>
      </w:pPr>
    </w:p>
    <w:p>
      <w:pPr>
        <w:ind w:firstLine="595"/>
        <w:spacing w:after="0" w:line="286" w:lineRule="auto"/>
        <w:rPr>
          <w:sz w:val="20"/>
          <w:szCs w:val="20"/>
          <w:color w:val="auto"/>
        </w:rPr>
      </w:pPr>
      <w:r>
        <w:rPr>
          <w:rFonts w:ascii="Arial" w:cs="Arial" w:eastAsia="Arial" w:hAnsi="Arial"/>
          <w:sz w:val="15"/>
          <w:szCs w:val="15"/>
          <w:color w:val="auto"/>
        </w:rPr>
        <w:t>In case there shall be pending proceedings relative to the Issuer or any other obligor upon the Securities under Title 11 of the United States Code or any other applicable Federal or state bankruptcy, insolvency or other similar law, or in case a receiver, assignee or trustee in bankruptcy or reorganization, liquidator, sequestrator or similar official shall have been appointed for or taken possession of the Issuer or its property or such other obligor or its property, or in case of any other comparable judicial proceedings relative to the Issuer or other obligor upon the Securities of any series, or to the creditors or property of the Issuer or such other obligor, the Trustee, irrespective of whether the principal of any Securities shall then be due and payable as therein expressed or by declaration or otherwise and irrespective of whether the Trustee shall have made any demand pursuant to the provisions of this Section, shall be entitled and empowered, by intervention in such proceedings or otherwise:</w:t>
      </w:r>
    </w:p>
    <w:p>
      <w:pPr>
        <w:spacing w:after="0" w:line="156" w:lineRule="exact"/>
        <w:rPr>
          <w:sz w:val="20"/>
          <w:szCs w:val="20"/>
          <w:color w:val="auto"/>
        </w:rPr>
      </w:pPr>
    </w:p>
    <w:p>
      <w:pPr>
        <w:ind w:left="2380" w:hanging="595"/>
        <w:spacing w:after="0" w:line="283" w:lineRule="auto"/>
        <w:tabs>
          <w:tab w:leader="none" w:pos="238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to file and prove a claim or claims for the whole amount of principal and interest (or, if the Securities of any series are Original Issue Discount Securities, such portion of the principal amount as may be specified in the terms of such series) owing and unpaid in respect of the Securities of any series, and to file such other papers or documents as may be necessary or advisable in order to have the claims of the Trustee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or bad faith) and of the Securityholders allowed in any judicial proceedings relative to the Issuer or other obligor upon the Securities of any series, or to the creditors or property of the Issuer or such other obligor,</w:t>
      </w:r>
    </w:p>
    <w:p>
      <w:pPr>
        <w:spacing w:after="0" w:line="35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1">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70" w:name="page71"/>
    <w:bookmarkEnd w:id="70"/>
    <w:p>
      <w:pPr>
        <w:ind w:left="2380" w:right="100" w:hanging="595"/>
        <w:spacing w:after="0" w:line="252" w:lineRule="auto"/>
        <w:tabs>
          <w:tab w:leader="none" w:pos="23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unless prohibited by applicable law and regulations, to vote on behalf of the Holders of the Securities of any series in any election of a trustee or a standby trustee in arrangement, reorganization, liquidation or other bankruptcy or insolvency proceedings or person performing similar functions in comparable proceedings, and</w:t>
      </w:r>
    </w:p>
    <w:p>
      <w:pPr>
        <w:spacing w:after="0" w:line="178" w:lineRule="exact"/>
        <w:rPr>
          <w:rFonts w:ascii="Arial" w:cs="Arial" w:eastAsia="Arial" w:hAnsi="Arial"/>
          <w:sz w:val="17"/>
          <w:szCs w:val="17"/>
          <w:color w:val="auto"/>
        </w:rPr>
      </w:pPr>
    </w:p>
    <w:p>
      <w:pPr>
        <w:ind w:left="2380" w:hanging="595"/>
        <w:spacing w:after="0" w:line="284" w:lineRule="auto"/>
        <w:tabs>
          <w:tab w:leader="none" w:pos="238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to collect and receive any moneys or other property payable or deliverable on any such claims, and to distribute all amounts received with respect to the claims of the Securityholders and of the Trustee on their behalf; and any trustee, receiver or liquidator, custodian or other similar official is hereby authorized by each of the Securityholders to make payments to the Trustee, and, in the event that the Trustee shall consent to the making of payments directly to the Securityholders, to pay to the Trustee such amounts as shall be sufficient to cover reasonable compensation to the Trustee, each predecessor trustee and their respective agents, attorneys and counsel, and all other expenses and liabilities incurred, and all advances made, by the Trustee and each predecessor trustee except as a result of negligence or bad faith and all other amounts due to the Trustee or any predecessor trustee pursuant to Section 6.06.</w:t>
      </w:r>
    </w:p>
    <w:p>
      <w:pPr>
        <w:spacing w:after="0" w:line="159" w:lineRule="exact"/>
        <w:rPr>
          <w:sz w:val="20"/>
          <w:szCs w:val="20"/>
          <w:color w:val="auto"/>
        </w:rPr>
      </w:pPr>
    </w:p>
    <w:p>
      <w:pPr>
        <w:ind w:right="160" w:firstLine="595"/>
        <w:spacing w:after="0" w:line="301" w:lineRule="auto"/>
        <w:rPr>
          <w:sz w:val="20"/>
          <w:szCs w:val="20"/>
          <w:color w:val="auto"/>
        </w:rPr>
      </w:pPr>
      <w:r>
        <w:rPr>
          <w:rFonts w:ascii="Arial" w:cs="Arial" w:eastAsia="Arial" w:hAnsi="Arial"/>
          <w:sz w:val="15"/>
          <w:szCs w:val="15"/>
          <w:color w:val="auto"/>
        </w:rPr>
        <w:t>Nothing herein contained shall be deemed to authorize the Trustee to authorize or consent to or vote for or accept or adopt on behalf of any Securityholder any plan of reorganization, arrangement, adjustment or composition affecting the Securities of any series or the rights of any Holder thereof, or to authorize the Trustee to vote in respect of the claim of any Securityholder in any such proceeding except, as aforesaid, to vote for the election of a trustee in bankruptcy or similar person.</w:t>
      </w:r>
    </w:p>
    <w:p>
      <w:pPr>
        <w:spacing w:after="0" w:line="145" w:lineRule="exact"/>
        <w:rPr>
          <w:sz w:val="20"/>
          <w:szCs w:val="20"/>
          <w:color w:val="auto"/>
        </w:rPr>
      </w:pPr>
    </w:p>
    <w:p>
      <w:pPr>
        <w:ind w:right="40" w:firstLine="595"/>
        <w:spacing w:after="0" w:line="247" w:lineRule="auto"/>
        <w:rPr>
          <w:sz w:val="20"/>
          <w:szCs w:val="20"/>
          <w:color w:val="auto"/>
        </w:rPr>
      </w:pPr>
      <w:r>
        <w:rPr>
          <w:rFonts w:ascii="Arial" w:cs="Arial" w:eastAsia="Arial" w:hAnsi="Arial"/>
          <w:sz w:val="17"/>
          <w:szCs w:val="17"/>
          <w:color w:val="auto"/>
        </w:rPr>
        <w:t>All rights of action and of asserting claims under this Indenture, or under any of the Securities of any series, may be enforced by the Trustee without the possession of any of the Securities of such series or the production thereof on any trial or other proceedings relative thereto, and any such action or proceedings instituted by the Trustee shall be brought in its own name as trustee of an express trust, and any recovery of judgment, subject to the payment of the expenses, disbursements and compensation of the Trustee, each predecessor trustee and their respective agents and attorneys, shall be for the ratable benefit of the Holders of the Securities in respect of which such action was taken.</w:t>
      </w:r>
    </w:p>
    <w:p>
      <w:pPr>
        <w:spacing w:after="0" w:line="185" w:lineRule="exact"/>
        <w:rPr>
          <w:sz w:val="20"/>
          <w:szCs w:val="20"/>
          <w:color w:val="auto"/>
        </w:rPr>
      </w:pPr>
    </w:p>
    <w:p>
      <w:pPr>
        <w:ind w:right="40" w:firstLine="595"/>
        <w:spacing w:after="0" w:line="252" w:lineRule="auto"/>
        <w:rPr>
          <w:sz w:val="20"/>
          <w:szCs w:val="20"/>
          <w:color w:val="auto"/>
        </w:rPr>
      </w:pPr>
      <w:r>
        <w:rPr>
          <w:rFonts w:ascii="Arial" w:cs="Arial" w:eastAsia="Arial" w:hAnsi="Arial"/>
          <w:sz w:val="17"/>
          <w:szCs w:val="17"/>
          <w:color w:val="auto"/>
        </w:rPr>
        <w:t>In any proceedings brought by the Trustee (and also any proceedings involving the interpretation of any provision of this Indenture to which the Trustee shall be a party), the Trustee shall be held to represent all the Holders of the Securities in respect to which such action was taken, and it shall not be necessary to make any Holders of such Securities parties to any such proceedings.</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2">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71" w:name="page72"/>
    <w:bookmarkEnd w:id="71"/>
    <w:p>
      <w:pPr>
        <w:ind w:right="40" w:firstLine="595"/>
        <w:spacing w:after="0" w:line="293" w:lineRule="auto"/>
        <w:rPr>
          <w:sz w:val="20"/>
          <w:szCs w:val="20"/>
          <w:color w:val="auto"/>
        </w:rPr>
      </w:pPr>
      <w:r>
        <w:rPr>
          <w:rFonts w:ascii="Arial" w:cs="Arial" w:eastAsia="Arial" w:hAnsi="Arial"/>
          <w:sz w:val="15"/>
          <w:szCs w:val="15"/>
          <w:color w:val="auto"/>
        </w:rPr>
        <w:t xml:space="preserve">Section 5.03 </w:t>
      </w:r>
      <w:r>
        <w:rPr>
          <w:rFonts w:ascii="Arial" w:cs="Arial" w:eastAsia="Arial" w:hAnsi="Arial"/>
          <w:sz w:val="15"/>
          <w:szCs w:val="15"/>
          <w:i w:val="1"/>
          <w:iCs w:val="1"/>
          <w:color w:val="auto"/>
        </w:rPr>
        <w:t>Application of Proceeds.</w:t>
      </w:r>
      <w:r>
        <w:rPr>
          <w:rFonts w:ascii="Arial" w:cs="Arial" w:eastAsia="Arial" w:hAnsi="Arial"/>
          <w:sz w:val="15"/>
          <w:szCs w:val="15"/>
          <w:color w:val="auto"/>
        </w:rPr>
        <w:t xml:space="preserve"> Any moneys collected by the Trustee pursuant to this Article in respect of any series shall be applied in the following order at the date or dates fixed by the Trustee and, in case of the distribution of such moneys on account of principal or interest, upon presentation of the several Securities in respect of which monies have been collected and stamping (or otherwise noting) thereon the payment, or issuing Securities of such series in reduced principal amounts in exchange for the presented Securities of like series if only partially paid, or upon surrender thereof if fully paid:</w:t>
      </w:r>
    </w:p>
    <w:p>
      <w:pPr>
        <w:spacing w:after="0" w:line="150"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FIRST: To the payment of all amounts due to the Trustee or any predecessor trustee pursuant to Section 6.06;</w:t>
      </w:r>
    </w:p>
    <w:p>
      <w:pPr>
        <w:spacing w:after="0" w:line="201" w:lineRule="exact"/>
        <w:rPr>
          <w:sz w:val="20"/>
          <w:szCs w:val="20"/>
          <w:color w:val="auto"/>
        </w:rPr>
      </w:pPr>
    </w:p>
    <w:p>
      <w:pPr>
        <w:ind w:left="600" w:right="40" w:firstLine="595"/>
        <w:spacing w:after="0" w:line="288" w:lineRule="auto"/>
        <w:rPr>
          <w:sz w:val="20"/>
          <w:szCs w:val="20"/>
          <w:color w:val="auto"/>
        </w:rPr>
      </w:pPr>
      <w:r>
        <w:rPr>
          <w:rFonts w:ascii="Arial" w:cs="Arial" w:eastAsia="Arial" w:hAnsi="Arial"/>
          <w:sz w:val="15"/>
          <w:szCs w:val="15"/>
          <w:color w:val="auto"/>
        </w:rPr>
        <w:t>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to the extent permitted by applicable law, at the same rate as the rate of interest or Yield to Maturity (in the case of Original Issue Discount Securities) specified in such Securities, such payments to be made ratably to the Persons entitled thereto, without discrimination or preference;</w:t>
      </w:r>
    </w:p>
    <w:p>
      <w:pPr>
        <w:spacing w:after="0" w:line="156" w:lineRule="exact"/>
        <w:rPr>
          <w:sz w:val="20"/>
          <w:szCs w:val="20"/>
          <w:color w:val="auto"/>
        </w:rPr>
      </w:pPr>
    </w:p>
    <w:p>
      <w:pPr>
        <w:ind w:left="600" w:firstLine="595"/>
        <w:spacing w:after="0" w:line="283" w:lineRule="auto"/>
        <w:rPr>
          <w:sz w:val="20"/>
          <w:szCs w:val="20"/>
          <w:color w:val="auto"/>
        </w:rPr>
      </w:pPr>
      <w:r>
        <w:rPr>
          <w:rFonts w:ascii="Arial" w:cs="Arial" w:eastAsia="Arial" w:hAnsi="Arial"/>
          <w:sz w:val="15"/>
          <w:szCs w:val="15"/>
          <w:color w:val="auto"/>
        </w:rPr>
        <w:t>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to the extent permitted by applicable law,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 principal and interest, without preference or priority of principal over interest, or of interest over principal, or of any installment of interest over any other installment of interest, or of any Security of such series over any other Security of such series, ratably to the aggregate of such principal and accrued and unpaid interest; and</w:t>
      </w:r>
    </w:p>
    <w:p>
      <w:pPr>
        <w:spacing w:after="0" w:line="159"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FOURTH: To the payment of the remainder, if any, to the Issuer or any other Person lawfully entitled thereto.</w:t>
      </w:r>
    </w:p>
    <w:p>
      <w:pPr>
        <w:spacing w:after="0" w:line="201" w:lineRule="exact"/>
        <w:rPr>
          <w:sz w:val="20"/>
          <w:szCs w:val="20"/>
          <w:color w:val="auto"/>
        </w:rPr>
      </w:pPr>
    </w:p>
    <w:p>
      <w:pPr>
        <w:ind w:right="60" w:firstLine="595"/>
        <w:spacing w:after="0" w:line="293" w:lineRule="auto"/>
        <w:rPr>
          <w:sz w:val="20"/>
          <w:szCs w:val="20"/>
          <w:color w:val="auto"/>
        </w:rPr>
      </w:pPr>
      <w:r>
        <w:rPr>
          <w:rFonts w:ascii="Arial" w:cs="Arial" w:eastAsia="Arial" w:hAnsi="Arial"/>
          <w:sz w:val="15"/>
          <w:szCs w:val="15"/>
          <w:color w:val="auto"/>
        </w:rPr>
        <w:t xml:space="preserve">Section 5.04 </w:t>
      </w:r>
      <w:r>
        <w:rPr>
          <w:rFonts w:ascii="Arial" w:cs="Arial" w:eastAsia="Arial" w:hAnsi="Arial"/>
          <w:sz w:val="15"/>
          <w:szCs w:val="15"/>
          <w:i w:val="1"/>
          <w:iCs w:val="1"/>
          <w:color w:val="auto"/>
        </w:rPr>
        <w:t>Suits for Enforcement</w:t>
      </w:r>
      <w:r>
        <w:rPr>
          <w:rFonts w:ascii="Arial" w:cs="Arial" w:eastAsia="Arial" w:hAnsi="Arial"/>
          <w:sz w:val="15"/>
          <w:szCs w:val="15"/>
          <w:color w:val="auto"/>
        </w:rPr>
        <w:t>. In case an Event of Default has occurred, has not been waived and is continuing, the Trustee may in its discretion proceed to protect and enforce the rights vested in it by this Indenture by such appropriate judicial proceedings as the Trustee shall deem most effectual to protect and enforce any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3">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20"/>
          </w:cols>
          <w:pgMar w:left="320" w:top="846" w:right="359" w:bottom="1440" w:gutter="0" w:footer="0" w:header="0"/>
        </w:sectPr>
      </w:pPr>
    </w:p>
    <w:bookmarkStart w:id="72" w:name="page73"/>
    <w:bookmarkEnd w:id="72"/>
    <w:p>
      <w:pPr>
        <w:jc w:val="both"/>
        <w:ind w:right="80" w:firstLine="595"/>
        <w:spacing w:after="0" w:line="293" w:lineRule="auto"/>
        <w:rPr>
          <w:sz w:val="20"/>
          <w:szCs w:val="20"/>
          <w:color w:val="auto"/>
        </w:rPr>
      </w:pPr>
      <w:r>
        <w:rPr>
          <w:rFonts w:ascii="Arial" w:cs="Arial" w:eastAsia="Arial" w:hAnsi="Arial"/>
          <w:sz w:val="15"/>
          <w:szCs w:val="15"/>
          <w:color w:val="auto"/>
        </w:rPr>
        <w:t xml:space="preserve">Section 5.05 </w:t>
      </w:r>
      <w:r>
        <w:rPr>
          <w:rFonts w:ascii="Arial" w:cs="Arial" w:eastAsia="Arial" w:hAnsi="Arial"/>
          <w:sz w:val="15"/>
          <w:szCs w:val="15"/>
          <w:i w:val="1"/>
          <w:iCs w:val="1"/>
          <w:color w:val="auto"/>
        </w:rPr>
        <w:t>Restoration of Rights on Abandonment of Proceedings</w:t>
      </w:r>
      <w:r>
        <w:rPr>
          <w:rFonts w:ascii="Arial" w:cs="Arial" w:eastAsia="Arial" w:hAnsi="Arial"/>
          <w:sz w:val="15"/>
          <w:szCs w:val="15"/>
          <w:color w:val="auto"/>
        </w:rPr>
        <w:t>. In case the Trustee shall have proceeded to enforce any right under this Indenture and such proceedings shall have been discontinued or abandoned for any reason, or shall have been determined adversely to the Trustee, then and in every such case (subject to any determination in such proceeding) the Issuer and the Trustee shall be restored respectively to their former positions and rights hereunder, and all rights, remedies and powers of the Issuer, the Trustee and the Securityholders shall continue as though no such proceedings had been taken.</w:t>
      </w:r>
    </w:p>
    <w:p>
      <w:pPr>
        <w:spacing w:after="0" w:line="150" w:lineRule="exact"/>
        <w:rPr>
          <w:sz w:val="20"/>
          <w:szCs w:val="20"/>
          <w:color w:val="auto"/>
        </w:rPr>
      </w:pPr>
    </w:p>
    <w:p>
      <w:pPr>
        <w:ind w:firstLine="595"/>
        <w:spacing w:after="0" w:line="301" w:lineRule="auto"/>
        <w:rPr>
          <w:sz w:val="20"/>
          <w:szCs w:val="20"/>
          <w:color w:val="auto"/>
        </w:rPr>
      </w:pPr>
      <w:r>
        <w:rPr>
          <w:rFonts w:ascii="Arial" w:cs="Arial" w:eastAsia="Arial" w:hAnsi="Arial"/>
          <w:sz w:val="14"/>
          <w:szCs w:val="14"/>
          <w:color w:val="auto"/>
        </w:rPr>
        <w:t xml:space="preserve">Section 5.06 </w:t>
      </w:r>
      <w:r>
        <w:rPr>
          <w:rFonts w:ascii="Arial" w:cs="Arial" w:eastAsia="Arial" w:hAnsi="Arial"/>
          <w:sz w:val="14"/>
          <w:szCs w:val="14"/>
          <w:i w:val="1"/>
          <w:iCs w:val="1"/>
          <w:color w:val="auto"/>
        </w:rPr>
        <w:t>Limitations on Suits by Securityholders</w:t>
      </w:r>
      <w:r>
        <w:rPr>
          <w:rFonts w:ascii="Arial" w:cs="Arial" w:eastAsia="Arial" w:hAnsi="Arial"/>
          <w:sz w:val="14"/>
          <w:szCs w:val="14"/>
          <w:color w:val="auto"/>
        </w:rPr>
        <w:t>. No Holder of any Security of any series shall have any right by virtue, or by availing itself, of any provision of this Indenture to institute any action or proceeding at law or in equity or in bankruptcy or otherwise upon or under or with respect to this Indenture, or for the appointment of a trustee, receiver, liquidator, custodian or other similar official or for any other remedy hereunder, unless such Holder previously shall have given to the Trustee written notice of default and of the continuance thereof, as hereinbefore provided, and unless also the Holders of not less than 25% in aggregate principal amount of the Securities of such series then Outstanding shall have made written request upon the Trustee to institute such action or proceedings in its own name as trustee hereunder and shall have offered to the Trustee such reasonable indemnity as it may require against the costs, expenses and liabilities to be incurred therein or thereby and the Trustee for 60 days after its receipt of such notice, request and offer of indemnity shall have failed to institute any such action or proceeding and no direction inconsistent with such written request shall have been given to the Trustee pursuant to Section 5.09; it being understood and intended, and being expressly covenanted by the Holder of every Security of a particular series with every other Holder of Securities of such series and the Trustee, that no one or more Holders of Securities of any series shall have any right in any manner whatever by virtue or by availing of any provision of this Indenture to affect, disturb or prejudice the rights of any other such Holder of Securities of such series, or to obtain or seek to obtain priority over or preference to any other such Holder of such series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spacing w:after="0" w:line="153" w:lineRule="exact"/>
        <w:rPr>
          <w:sz w:val="20"/>
          <w:szCs w:val="20"/>
          <w:color w:val="auto"/>
        </w:rPr>
      </w:pPr>
    </w:p>
    <w:p>
      <w:pPr>
        <w:ind w:firstLine="595"/>
        <w:spacing w:after="0" w:line="282" w:lineRule="auto"/>
        <w:rPr>
          <w:sz w:val="20"/>
          <w:szCs w:val="20"/>
          <w:color w:val="auto"/>
        </w:rPr>
      </w:pPr>
      <w:r>
        <w:rPr>
          <w:rFonts w:ascii="Arial" w:cs="Arial" w:eastAsia="Arial" w:hAnsi="Arial"/>
          <w:sz w:val="15"/>
          <w:szCs w:val="15"/>
          <w:color w:val="auto"/>
        </w:rPr>
        <w:t xml:space="preserve">Section 5.07 </w:t>
      </w:r>
      <w:r>
        <w:rPr>
          <w:rFonts w:ascii="Arial" w:cs="Arial" w:eastAsia="Arial" w:hAnsi="Arial"/>
          <w:sz w:val="15"/>
          <w:szCs w:val="15"/>
          <w:i w:val="1"/>
          <w:iCs w:val="1"/>
          <w:color w:val="auto"/>
        </w:rPr>
        <w:t>Unconditional Right of Securityholders to Institute Certain Suits</w:t>
      </w:r>
      <w:r>
        <w:rPr>
          <w:rFonts w:ascii="Arial" w:cs="Arial" w:eastAsia="Arial" w:hAnsi="Arial"/>
          <w:sz w:val="15"/>
          <w:szCs w:val="15"/>
          <w:color w:val="auto"/>
        </w:rPr>
        <w:t>. Notwithstanding any other provision in this Indenture and any provision of any Security, the right of any Holder of any Security to receive payment of the principal of and interest on such Security on or after the respective due dates expressed in such Security in accordance with the terms hereof and thereof, or to institute suit for the enforcement of any such payment on or after such respective dates, shall not be impaired or affected without the consent of such Holder; it being understood and intended, and being expressly covenanted by the Holder of every Security of a particular series with every other Holder of Securities of such Series and the Trustee, that no one or more Holders of Securities of any series shall have any right in any manner whatever by virtue or by availing of any provision of this Indenture to affect, disturb or prejudice the rights of any other such Holder of Securities of such series, or to obtain or seek to obtain priority over or preference to any other such Holder of Securities of such series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spacing w:after="0" w:line="35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4">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73" w:name="page74"/>
    <w:bookmarkEnd w:id="73"/>
    <w:p>
      <w:pPr>
        <w:ind w:right="80" w:firstLine="595"/>
        <w:spacing w:after="0" w:line="247" w:lineRule="auto"/>
        <w:rPr>
          <w:sz w:val="20"/>
          <w:szCs w:val="20"/>
          <w:color w:val="auto"/>
        </w:rPr>
      </w:pPr>
      <w:r>
        <w:rPr>
          <w:rFonts w:ascii="Arial" w:cs="Arial" w:eastAsia="Arial" w:hAnsi="Arial"/>
          <w:sz w:val="17"/>
          <w:szCs w:val="17"/>
          <w:color w:val="auto"/>
        </w:rPr>
        <w:t xml:space="preserve">Section 5.08 </w:t>
      </w:r>
      <w:r>
        <w:rPr>
          <w:rFonts w:ascii="Arial" w:cs="Arial" w:eastAsia="Arial" w:hAnsi="Arial"/>
          <w:sz w:val="17"/>
          <w:szCs w:val="17"/>
          <w:i w:val="1"/>
          <w:iCs w:val="1"/>
          <w:color w:val="auto"/>
        </w:rPr>
        <w:t>Powers and Remedies Cumulative; Delay or Omission Not Waiver of Default</w:t>
      </w:r>
      <w:r>
        <w:rPr>
          <w:rFonts w:ascii="Arial" w:cs="Arial" w:eastAsia="Arial" w:hAnsi="Arial"/>
          <w:sz w:val="17"/>
          <w:szCs w:val="17"/>
          <w:color w:val="auto"/>
        </w:rPr>
        <w:t>. Except as provided in Section 5.06, no right or remedy herein conferred upon or reserved to the Trustee or to the Holders of Securities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5" w:lineRule="exact"/>
        <w:rPr>
          <w:sz w:val="20"/>
          <w:szCs w:val="20"/>
          <w:color w:val="auto"/>
        </w:rPr>
      </w:pPr>
    </w:p>
    <w:p>
      <w:pPr>
        <w:ind w:right="140" w:firstLine="595"/>
        <w:spacing w:after="0" w:line="283" w:lineRule="auto"/>
        <w:rPr>
          <w:sz w:val="20"/>
          <w:szCs w:val="20"/>
          <w:color w:val="auto"/>
        </w:rPr>
      </w:pPr>
      <w:r>
        <w:rPr>
          <w:rFonts w:ascii="Arial" w:cs="Arial" w:eastAsia="Arial" w:hAnsi="Arial"/>
          <w:sz w:val="15"/>
          <w:szCs w:val="15"/>
          <w:color w:val="auto"/>
        </w:rPr>
        <w:t>No delay or omission of the Trustee or of any Holder of Securities to exercise any right or power accruing upon any Event of Default occurring and continuing as aforesaid shall impair any such right or power or shall be construed to be a waiver of any such Event of Default or an acquiescence therein; and, subject to Section</w:t>
      </w:r>
    </w:p>
    <w:p>
      <w:pPr>
        <w:spacing w:after="0" w:line="1"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5.06, every power and remedy given by this Indenture or by law to the Trustee or to the Holders of Securities may be exercised from time to time, and as often as shall be deemed expedient, by the Trustee or by the Holders of Securities.</w:t>
      </w:r>
    </w:p>
    <w:p>
      <w:pPr>
        <w:spacing w:after="0" w:line="182" w:lineRule="exact"/>
        <w:rPr>
          <w:sz w:val="20"/>
          <w:szCs w:val="20"/>
          <w:color w:val="auto"/>
        </w:rPr>
      </w:pPr>
    </w:p>
    <w:p>
      <w:pPr>
        <w:ind w:right="100" w:firstLine="595"/>
        <w:spacing w:after="0" w:line="281" w:lineRule="auto"/>
        <w:rPr>
          <w:sz w:val="20"/>
          <w:szCs w:val="20"/>
          <w:color w:val="auto"/>
        </w:rPr>
      </w:pPr>
      <w:r>
        <w:rPr>
          <w:rFonts w:ascii="Arial" w:cs="Arial" w:eastAsia="Arial" w:hAnsi="Arial"/>
          <w:sz w:val="15"/>
          <w:szCs w:val="15"/>
          <w:color w:val="auto"/>
        </w:rPr>
        <w:t xml:space="preserve">Section 5.09 </w:t>
      </w:r>
      <w:r>
        <w:rPr>
          <w:rFonts w:ascii="Arial" w:cs="Arial" w:eastAsia="Arial" w:hAnsi="Arial"/>
          <w:sz w:val="15"/>
          <w:szCs w:val="15"/>
          <w:i w:val="1"/>
          <w:iCs w:val="1"/>
          <w:color w:val="auto"/>
        </w:rPr>
        <w:t>Control by Holders of Securities</w:t>
      </w:r>
      <w:r>
        <w:rPr>
          <w:rFonts w:ascii="Arial" w:cs="Arial" w:eastAsia="Arial" w:hAnsi="Arial"/>
          <w:sz w:val="15"/>
          <w:szCs w:val="15"/>
          <w:color w:val="auto"/>
        </w:rPr>
        <w:t xml:space="preserve">. The Holders of a majority in aggregate principal amount of the Securities of each series affected (with each series voting as a separate class) at the time Outstanding shall have the right to direct the time, method and place of conducting any proceeding for any remedy available to the Trustee, or exercising any trust or power conferred on the Trustee with respect to the Securities of such series by this Indenture; </w:t>
      </w:r>
      <w:r>
        <w:rPr>
          <w:rFonts w:ascii="Arial" w:cs="Arial" w:eastAsia="Arial" w:hAnsi="Arial"/>
          <w:sz w:val="15"/>
          <w:szCs w:val="15"/>
          <w:i w:val="1"/>
          <w:iCs w:val="1"/>
          <w:color w:val="auto"/>
        </w:rPr>
        <w:t>provided</w:t>
      </w:r>
      <w:r>
        <w:rPr>
          <w:rFonts w:ascii="Arial" w:cs="Arial" w:eastAsia="Arial" w:hAnsi="Arial"/>
          <w:sz w:val="15"/>
          <w:szCs w:val="15"/>
          <w:color w:val="auto"/>
        </w:rPr>
        <w:t>, that such direction shall not be otherwise than in accordance with law and the provisions of this Indenture and provided, further, that (subject to the provisions of Section 6.01) the Trustee shall have the right to decline to follow any such direction if the Trustee, being advised by counsel, shall determine that the action or proceeding so directed may not lawfully be taken or if the Trustee in good faith by its board of directors, the executive committee, or a trust committee of directors or Responsible Officers of the Trustee shall determine that the action or proceedings so directed would involve the Trustee in personal liability or if the Trustee in good faith shall so determine that the actions or forbearances specified in or pursuant to such direction would be unduly prejudicial to the interests of Holders of the Securities of all series so affected not joining in the giving of said direction, it being understood that (subject to Section 6.01) the Trustee shall have no duty to ascertain whether or not such actions or forbearances are unduly prejudicial to such Holders.</w:t>
      </w:r>
    </w:p>
    <w:p>
      <w:pPr>
        <w:spacing w:after="0" w:line="163" w:lineRule="exact"/>
        <w:rPr>
          <w:sz w:val="20"/>
          <w:szCs w:val="20"/>
          <w:color w:val="auto"/>
        </w:rPr>
      </w:pPr>
    </w:p>
    <w:p>
      <w:pPr>
        <w:ind w:right="20" w:firstLine="595"/>
        <w:spacing w:after="0" w:line="260" w:lineRule="auto"/>
        <w:rPr>
          <w:sz w:val="20"/>
          <w:szCs w:val="20"/>
          <w:color w:val="auto"/>
        </w:rPr>
      </w:pPr>
      <w:r>
        <w:rPr>
          <w:rFonts w:ascii="Arial" w:cs="Arial" w:eastAsia="Arial" w:hAnsi="Arial"/>
          <w:sz w:val="17"/>
          <w:szCs w:val="17"/>
          <w:color w:val="auto"/>
        </w:rPr>
        <w:t>Nothing in this Indenture shall impair the right of the Trustee in its discretion to take any action deemed proper by the Trustee and which is not inconsistent with such direction or directions by Securityholders.</w:t>
      </w:r>
    </w:p>
    <w:p>
      <w:pPr>
        <w:spacing w:after="0" w:line="172" w:lineRule="exact"/>
        <w:rPr>
          <w:sz w:val="20"/>
          <w:szCs w:val="20"/>
          <w:color w:val="auto"/>
        </w:rPr>
      </w:pPr>
    </w:p>
    <w:p>
      <w:pPr>
        <w:ind w:firstLine="595"/>
        <w:spacing w:after="0" w:line="283" w:lineRule="auto"/>
        <w:rPr>
          <w:sz w:val="20"/>
          <w:szCs w:val="20"/>
          <w:color w:val="auto"/>
        </w:rPr>
      </w:pPr>
      <w:r>
        <w:rPr>
          <w:rFonts w:ascii="Arial" w:cs="Arial" w:eastAsia="Arial" w:hAnsi="Arial"/>
          <w:sz w:val="15"/>
          <w:szCs w:val="15"/>
          <w:color w:val="auto"/>
        </w:rPr>
        <w:t xml:space="preserve">Section 5.10 </w:t>
      </w:r>
      <w:r>
        <w:rPr>
          <w:rFonts w:ascii="Arial" w:cs="Arial" w:eastAsia="Arial" w:hAnsi="Arial"/>
          <w:sz w:val="15"/>
          <w:szCs w:val="15"/>
          <w:i w:val="1"/>
          <w:iCs w:val="1"/>
          <w:color w:val="auto"/>
        </w:rPr>
        <w:t>Waiver of Past Defaults</w:t>
      </w:r>
      <w:r>
        <w:rPr>
          <w:rFonts w:ascii="Arial" w:cs="Arial" w:eastAsia="Arial" w:hAnsi="Arial"/>
          <w:sz w:val="15"/>
          <w:szCs w:val="15"/>
          <w:color w:val="auto"/>
        </w:rPr>
        <w:t>. The Holders of a majority in aggregate principal amount of the Securities of any series at the time Outstanding, by notice to the Trustee, may on behalf of the Holders of all the Securities of such series waive any existing default in the performance of any of the covenants contained herein or established pursuant to Section 2.03 with respect to such series and its consequences, except an uncured default in the payment of the principal of, or interest on, any of the Securities of that series as and when the same shall become due by the terms of such Securities; and may rescind an acceleration and its consequences, including any related payment default that resulted from such acceleration. In the case of any such waiver, the Issuer, the Trustee and the Holders of the Securities of such series shall be restored to their former positions and rights hereunder, respectively, such default shall cease to exist and be deemed to have been cured and not to have occurred, and any Event of Default arising therefrom shall be deemed to have been cured, and not to have occurred for every purpose of this Indenture; but no such waiver shall extend to any subsequent or other default or Event of Default or impair any right consequent thereon.</w:t>
      </w:r>
    </w:p>
    <w:p>
      <w:pPr>
        <w:spacing w:after="0" w:line="35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5">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74" w:name="page75"/>
    <w:bookmarkEnd w:id="74"/>
    <w:p>
      <w:pPr>
        <w:ind w:firstLine="595"/>
        <w:spacing w:after="0" w:line="283" w:lineRule="auto"/>
        <w:rPr>
          <w:sz w:val="20"/>
          <w:szCs w:val="20"/>
          <w:color w:val="auto"/>
        </w:rPr>
      </w:pPr>
      <w:r>
        <w:rPr>
          <w:rFonts w:ascii="Arial" w:cs="Arial" w:eastAsia="Arial" w:hAnsi="Arial"/>
          <w:sz w:val="15"/>
          <w:szCs w:val="15"/>
          <w:color w:val="auto"/>
        </w:rPr>
        <w:t xml:space="preserve">Section 5.11 </w:t>
      </w:r>
      <w:r>
        <w:rPr>
          <w:rFonts w:ascii="Arial" w:cs="Arial" w:eastAsia="Arial" w:hAnsi="Arial"/>
          <w:sz w:val="15"/>
          <w:szCs w:val="15"/>
          <w:i w:val="1"/>
          <w:iCs w:val="1"/>
          <w:color w:val="auto"/>
        </w:rPr>
        <w:t>Trustee to Give Notice of Default</w:t>
      </w:r>
      <w:r>
        <w:rPr>
          <w:rFonts w:ascii="Arial" w:cs="Arial" w:eastAsia="Arial" w:hAnsi="Arial"/>
          <w:sz w:val="15"/>
          <w:szCs w:val="15"/>
          <w:color w:val="auto"/>
        </w:rPr>
        <w:t>. The Trustee shall, within 90 days after the occurrence of a default with respect to the Securities of any series, give notice of all defaults with respect to that series known to the Trustee to all Holders of Securities of such series in the manner and to the extent provided in Sections</w:t>
      </w:r>
    </w:p>
    <w:p>
      <w:pPr>
        <w:spacing w:after="0" w:line="1" w:lineRule="exact"/>
        <w:rPr>
          <w:sz w:val="20"/>
          <w:szCs w:val="20"/>
          <w:color w:val="auto"/>
        </w:rPr>
      </w:pPr>
    </w:p>
    <w:p>
      <w:pPr>
        <w:ind w:right="80"/>
        <w:spacing w:after="0" w:line="285" w:lineRule="auto"/>
        <w:rPr>
          <w:sz w:val="20"/>
          <w:szCs w:val="20"/>
          <w:color w:val="auto"/>
        </w:rPr>
      </w:pPr>
      <w:r>
        <w:rPr>
          <w:rFonts w:ascii="Arial" w:cs="Arial" w:eastAsia="Arial" w:hAnsi="Arial"/>
          <w:sz w:val="15"/>
          <w:szCs w:val="15"/>
          <w:color w:val="auto"/>
        </w:rPr>
        <w:t>4.03 and 11.04, unless in each case such defaults shall have been cured before the giving of such notice (the term “</w:t>
      </w:r>
      <w:r>
        <w:rPr>
          <w:rFonts w:ascii="Arial" w:cs="Arial" w:eastAsia="Arial" w:hAnsi="Arial"/>
          <w:sz w:val="15"/>
          <w:szCs w:val="15"/>
          <w:b w:val="1"/>
          <w:bCs w:val="1"/>
          <w:color w:val="auto"/>
        </w:rPr>
        <w:t>defaults</w:t>
      </w:r>
      <w:r>
        <w:rPr>
          <w:rFonts w:ascii="Arial" w:cs="Arial" w:eastAsia="Arial" w:hAnsi="Arial"/>
          <w:sz w:val="15"/>
          <w:szCs w:val="15"/>
          <w:color w:val="auto"/>
        </w:rPr>
        <w:t xml:space="preserve">” for the purpose of this Section being hereby defined to mean any event or condition which is, or with notice or lapse of time or both would become, an Event of Default); </w:t>
      </w:r>
      <w:r>
        <w:rPr>
          <w:rFonts w:ascii="Arial" w:cs="Arial" w:eastAsia="Arial" w:hAnsi="Arial"/>
          <w:sz w:val="15"/>
          <w:szCs w:val="15"/>
          <w:i w:val="1"/>
          <w:iCs w:val="1"/>
          <w:color w:val="auto"/>
        </w:rPr>
        <w:t>provided</w:t>
      </w:r>
      <w:r>
        <w:rPr>
          <w:rFonts w:ascii="Arial" w:cs="Arial" w:eastAsia="Arial" w:hAnsi="Arial"/>
          <w:sz w:val="15"/>
          <w:szCs w:val="15"/>
          <w:color w:val="auto"/>
        </w:rPr>
        <w:t>, that, except in the case of default in the payment of the principal of or interest on any of the Securities of such series, or in the payment of any sinking fund installment on such series,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Securityholders of such series.</w:t>
      </w:r>
    </w:p>
    <w:p>
      <w:pPr>
        <w:spacing w:after="0" w:line="156" w:lineRule="exact"/>
        <w:rPr>
          <w:sz w:val="20"/>
          <w:szCs w:val="20"/>
          <w:color w:val="auto"/>
        </w:rPr>
      </w:pPr>
    </w:p>
    <w:p>
      <w:pPr>
        <w:ind w:right="20" w:firstLine="595"/>
        <w:spacing w:after="0" w:line="283" w:lineRule="auto"/>
        <w:rPr>
          <w:sz w:val="20"/>
          <w:szCs w:val="20"/>
          <w:color w:val="auto"/>
        </w:rPr>
      </w:pPr>
      <w:r>
        <w:rPr>
          <w:rFonts w:ascii="Arial" w:cs="Arial" w:eastAsia="Arial" w:hAnsi="Arial"/>
          <w:sz w:val="15"/>
          <w:szCs w:val="15"/>
          <w:color w:val="auto"/>
        </w:rPr>
        <w:t xml:space="preserve">Section 5.12 </w:t>
      </w:r>
      <w:r>
        <w:rPr>
          <w:rFonts w:ascii="Arial" w:cs="Arial" w:eastAsia="Arial" w:hAnsi="Arial"/>
          <w:sz w:val="15"/>
          <w:szCs w:val="15"/>
          <w:i w:val="1"/>
          <w:iCs w:val="1"/>
          <w:color w:val="auto"/>
        </w:rPr>
        <w:t>Right of Court to Require Filing of Undertaking to Pay Costs</w:t>
      </w:r>
      <w:r>
        <w:rPr>
          <w:rFonts w:ascii="Arial" w:cs="Arial" w:eastAsia="Arial" w:hAnsi="Arial"/>
          <w:sz w:val="15"/>
          <w:szCs w:val="15"/>
          <w:color w:val="auto"/>
        </w:rPr>
        <w:t>. All parties to this Indenture agree, and each Holder of any Security by his or her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of any series holding in the aggregate more than 10% in aggregate principal amount of the Securities of such series, or to any suit instituted by any Securityholder for the enforcement of the payment of the principal of or interest on any Security of such series, on or after the respective due dates expressed in such Security or established pursuant to this Indenture.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6</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CONCERNING THE TRUSTEE</w:t>
      </w:r>
    </w:p>
    <w:p>
      <w:pPr>
        <w:spacing w:after="0" w:line="191" w:lineRule="exact"/>
        <w:rPr>
          <w:sz w:val="20"/>
          <w:szCs w:val="20"/>
          <w:color w:val="auto"/>
        </w:rPr>
      </w:pPr>
    </w:p>
    <w:p>
      <w:pPr>
        <w:ind w:firstLine="595"/>
        <w:spacing w:after="0" w:line="247" w:lineRule="auto"/>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i w:val="1"/>
          <w:iCs w:val="1"/>
          <w:color w:val="auto"/>
        </w:rPr>
        <w:t>Duties and Responsibilities of the Trustee; During Default; Prior to Default.</w:t>
      </w:r>
      <w:r>
        <w:rPr>
          <w:rFonts w:ascii="Arial" w:cs="Arial" w:eastAsia="Arial" w:hAnsi="Arial"/>
          <w:sz w:val="17"/>
          <w:szCs w:val="17"/>
          <w:color w:val="auto"/>
        </w:rPr>
        <w:t xml:space="preserve"> With respect to the Holders of any series of Securities issued hereunder, the Trustee, prior to the occurrence of an Event of Default with respect to the Securities of a particular series and after the curing or waiving of all Events of Default which may have occurred with respect to such series, undertakes to perform such duties and only such duties as are specifically set forth in this Indenture. In case an Event of Default with respect to the Securities of a series has occurred (and has not been cured or waived), the Trustee shall exercise such of the rights and powers vested in it by this Indenture, and use the same degree of care and skill in their exercise, as a prudent person would exercise or use under the circumstances in the conduct of his or her own affairs.</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6">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75" w:name="page76"/>
    <w:bookmarkEnd w:id="75"/>
    <w:p>
      <w:pPr>
        <w:ind w:right="340" w:firstLine="595"/>
        <w:spacing w:after="0" w:line="260" w:lineRule="auto"/>
        <w:rPr>
          <w:sz w:val="20"/>
          <w:szCs w:val="20"/>
          <w:color w:val="auto"/>
        </w:rPr>
      </w:pPr>
      <w:r>
        <w:rPr>
          <w:rFonts w:ascii="Arial" w:cs="Arial" w:eastAsia="Arial" w:hAnsi="Arial"/>
          <w:sz w:val="17"/>
          <w:szCs w:val="17"/>
          <w:color w:val="auto"/>
        </w:rPr>
        <w:t>No provision of this Indenture shall be construed to relieve the Trustee from liability for its own negligent action, its own negligent failure to act or its own willful misconduct.</w:t>
      </w:r>
    </w:p>
    <w:p>
      <w:pPr>
        <w:spacing w:after="0" w:line="172"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color w:val="auto"/>
        </w:rPr>
        <w:t>Section 6.02</w:t>
      </w:r>
      <w:r>
        <w:rPr>
          <w:sz w:val="20"/>
          <w:szCs w:val="20"/>
          <w:color w:val="auto"/>
        </w:rPr>
        <w:tab/>
      </w:r>
      <w:r>
        <w:rPr>
          <w:rFonts w:ascii="Arial" w:cs="Arial" w:eastAsia="Arial" w:hAnsi="Arial"/>
          <w:sz w:val="14"/>
          <w:szCs w:val="14"/>
          <w:i w:val="1"/>
          <w:iCs w:val="1"/>
          <w:color w:val="auto"/>
        </w:rPr>
        <w:t xml:space="preserve">Certain Rights of the Trustee. </w:t>
      </w:r>
      <w:r>
        <w:rPr>
          <w:rFonts w:ascii="Arial" w:cs="Arial" w:eastAsia="Arial" w:hAnsi="Arial"/>
          <w:sz w:val="14"/>
          <w:szCs w:val="14"/>
          <w:color w:val="auto"/>
        </w:rPr>
        <w:t>In furtherance of and subject to the Trust Indenture Act of 1939 and subject to Section 6.01:</w:t>
      </w:r>
    </w:p>
    <w:p>
      <w:pPr>
        <w:spacing w:after="0" w:line="201" w:lineRule="exact"/>
        <w:rPr>
          <w:sz w:val="20"/>
          <w:szCs w:val="20"/>
          <w:color w:val="auto"/>
        </w:rPr>
      </w:pPr>
    </w:p>
    <w:p>
      <w:pPr>
        <w:ind w:left="1780" w:right="20" w:hanging="590"/>
        <w:spacing w:after="0" w:line="247" w:lineRule="auto"/>
        <w:tabs>
          <w:tab w:leader="none" w:pos="17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184" w:lineRule="exact"/>
        <w:rPr>
          <w:rFonts w:ascii="Arial" w:cs="Arial" w:eastAsia="Arial" w:hAnsi="Arial"/>
          <w:sz w:val="17"/>
          <w:szCs w:val="17"/>
          <w:color w:val="auto"/>
        </w:rPr>
      </w:pPr>
    </w:p>
    <w:p>
      <w:pPr>
        <w:ind w:left="1780" w:right="160" w:hanging="590"/>
        <w:spacing w:after="0" w:line="260" w:lineRule="auto"/>
        <w:tabs>
          <w:tab w:leader="none" w:pos="17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171" w:lineRule="exact"/>
        <w:rPr>
          <w:rFonts w:ascii="Arial" w:cs="Arial" w:eastAsia="Arial" w:hAnsi="Arial"/>
          <w:sz w:val="17"/>
          <w:szCs w:val="17"/>
          <w:color w:val="auto"/>
        </w:rPr>
      </w:pPr>
    </w:p>
    <w:p>
      <w:pPr>
        <w:jc w:val="both"/>
        <w:ind w:left="1780" w:hanging="590"/>
        <w:spacing w:after="0" w:line="252" w:lineRule="auto"/>
        <w:tabs>
          <w:tab w:leader="none" w:pos="17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Trustee shall not be liable with respect to any action taken or omitted to be taken by it in good faith in accordance with the direction of the Holders pursuant to Section 5.09 relating to the time, method and place of conducting any proceeding for any remedy available to the Trustee, or exercising any trust or power conferred upon the Trustee, under this Indenture;</w:t>
      </w:r>
    </w:p>
    <w:p>
      <w:pPr>
        <w:spacing w:after="0" w:line="178" w:lineRule="exact"/>
        <w:rPr>
          <w:rFonts w:ascii="Arial" w:cs="Arial" w:eastAsia="Arial" w:hAnsi="Arial"/>
          <w:sz w:val="17"/>
          <w:szCs w:val="17"/>
          <w:color w:val="auto"/>
        </w:rPr>
      </w:pPr>
    </w:p>
    <w:p>
      <w:pPr>
        <w:ind w:left="1780" w:right="20" w:hanging="590"/>
        <w:spacing w:after="0" w:line="301" w:lineRule="auto"/>
        <w:tabs>
          <w:tab w:leader="none" w:pos="1780" w:val="left"/>
        </w:tabs>
        <w:numPr>
          <w:ilvl w:val="0"/>
          <w:numId w:val="60"/>
        </w:numPr>
        <w:rPr>
          <w:rFonts w:ascii="Arial" w:cs="Arial" w:eastAsia="Arial" w:hAnsi="Arial"/>
          <w:sz w:val="15"/>
          <w:szCs w:val="15"/>
          <w:color w:val="auto"/>
        </w:rPr>
      </w:pPr>
      <w:r>
        <w:rPr>
          <w:rFonts w:ascii="Arial" w:cs="Arial" w:eastAsia="Arial" w:hAnsi="Arial"/>
          <w:sz w:val="15"/>
          <w:szCs w:val="15"/>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shall be reasonable ground for believing that the repayment of such funds or adequate indemnity against such liability is not reasonably assured to it;</w:t>
      </w:r>
    </w:p>
    <w:p>
      <w:pPr>
        <w:spacing w:after="0" w:line="144" w:lineRule="exact"/>
        <w:rPr>
          <w:rFonts w:ascii="Arial" w:cs="Arial" w:eastAsia="Arial" w:hAnsi="Arial"/>
          <w:sz w:val="15"/>
          <w:szCs w:val="15"/>
          <w:color w:val="auto"/>
        </w:rPr>
      </w:pPr>
    </w:p>
    <w:p>
      <w:pPr>
        <w:ind w:left="1780" w:right="140" w:hanging="590"/>
        <w:spacing w:after="0" w:line="301" w:lineRule="auto"/>
        <w:tabs>
          <w:tab w:leader="none" w:pos="178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Trustee may rely and shall be protected in acting or refraining from acting upon any resolution, Officer’s Certificate or any other certificate, statement, instrument, opinion, report, notice, request, consent, order, bond, debenture, note, security or other paper or document believed by it to be genuine and to have been signed or presented by the proper party or parties;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7">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180"/>
          </w:cols>
          <w:pgMar w:left="320" w:top="846" w:right="399" w:bottom="1440" w:gutter="0" w:footer="0" w:header="0"/>
        </w:sectPr>
      </w:pPr>
    </w:p>
    <w:bookmarkStart w:id="76" w:name="page77"/>
    <w:bookmarkEnd w:id="76"/>
    <w:p>
      <w:pPr>
        <w:jc w:val="both"/>
        <w:ind w:left="660" w:right="40" w:hanging="590"/>
        <w:spacing w:after="0" w:line="252" w:lineRule="auto"/>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any request, direction, order or demand of the Issuer mentioned herein shall be sufficiently evidenced by an Officer’s Certificate (unless other evidence in respect thereof be herein specifically prescribed); and any resolution of the Board of Directors may be evidenced to the Trustee by a copy thereof certified by the secretary or an assistant secretary of the Issuer;</w:t>
      </w:r>
    </w:p>
    <w:p>
      <w:pPr>
        <w:spacing w:after="0" w:line="178" w:lineRule="exact"/>
        <w:rPr>
          <w:rFonts w:ascii="Arial" w:cs="Arial" w:eastAsia="Arial" w:hAnsi="Arial"/>
          <w:sz w:val="17"/>
          <w:szCs w:val="17"/>
          <w:color w:val="auto"/>
        </w:rPr>
      </w:pPr>
    </w:p>
    <w:p>
      <w:pPr>
        <w:ind w:left="660" w:right="100" w:hanging="590"/>
        <w:spacing w:after="0" w:line="327" w:lineRule="auto"/>
        <w:tabs>
          <w:tab w:leader="none" w:pos="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Trustee may consult with counsel and any advice or Opinion of Counsel shall be full and complete authorization and protection in respect of any action taken, suffered or omitted to be taken by it hereunder in good faith and in accordance with such advice or Opinion of Counsel;</w:t>
      </w:r>
    </w:p>
    <w:p>
      <w:pPr>
        <w:spacing w:after="0" w:line="125" w:lineRule="exact"/>
        <w:rPr>
          <w:rFonts w:ascii="Arial" w:cs="Arial" w:eastAsia="Arial" w:hAnsi="Arial"/>
          <w:sz w:val="15"/>
          <w:szCs w:val="15"/>
          <w:color w:val="auto"/>
        </w:rPr>
      </w:pPr>
    </w:p>
    <w:p>
      <w:pPr>
        <w:jc w:val="both"/>
        <w:ind w:left="660" w:hanging="590"/>
        <w:spacing w:after="0" w:line="301" w:lineRule="auto"/>
        <w:tabs>
          <w:tab w:leader="none" w:pos="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Trustee shall be under no obligation to exercise any of the trusts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might be incurred therein or thereby;</w:t>
      </w:r>
    </w:p>
    <w:p>
      <w:pPr>
        <w:spacing w:after="0" w:line="144" w:lineRule="exact"/>
        <w:rPr>
          <w:rFonts w:ascii="Arial" w:cs="Arial" w:eastAsia="Arial" w:hAnsi="Arial"/>
          <w:sz w:val="15"/>
          <w:szCs w:val="15"/>
          <w:color w:val="auto"/>
        </w:rPr>
      </w:pPr>
    </w:p>
    <w:p>
      <w:pPr>
        <w:ind w:left="660" w:right="260" w:hanging="590"/>
        <w:spacing w:after="0" w:line="260" w:lineRule="auto"/>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Trustee shall not be liable for any action taken or omitted by it in good faith and believed by it to be authorized or within the discretion, rights or powers conferred upon it by this Indenture;</w:t>
      </w:r>
    </w:p>
    <w:p>
      <w:pPr>
        <w:spacing w:after="0" w:line="171" w:lineRule="exact"/>
        <w:rPr>
          <w:rFonts w:ascii="Arial" w:cs="Arial" w:eastAsia="Arial" w:hAnsi="Arial"/>
          <w:sz w:val="17"/>
          <w:szCs w:val="17"/>
          <w:color w:val="auto"/>
        </w:rPr>
      </w:pPr>
    </w:p>
    <w:p>
      <w:pPr>
        <w:ind w:left="660" w:right="20" w:hanging="590"/>
        <w:spacing w:after="0" w:line="282" w:lineRule="auto"/>
        <w:tabs>
          <w:tab w:leader="none" w:pos="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 xml:space="preserve">prior to the occurrence of an Event of Default hereunder and after the curing or waiving of all Events of Default, the Trustee shall not be bound to make any investigation into the facts or matters stated in any resolution, certificate, statement, instrument, opinion, report, notice, request, consent, order, approval, appraisal, bond, debenture, note, security, or other paper or document unless requested in writing so to do by the Holders of not less than a majority in aggregate principal amount of the Securities of all series affected then Outstanding; </w:t>
      </w:r>
      <w:r>
        <w:rPr>
          <w:rFonts w:ascii="Arial" w:cs="Arial" w:eastAsia="Arial" w:hAnsi="Arial"/>
          <w:sz w:val="15"/>
          <w:szCs w:val="15"/>
          <w:i w:val="1"/>
          <w:iCs w:val="1"/>
          <w:color w:val="auto"/>
        </w:rPr>
        <w:t>provided</w:t>
      </w:r>
      <w:r>
        <w:rPr>
          <w:rFonts w:ascii="Arial" w:cs="Arial" w:eastAsia="Arial" w:hAnsi="Arial"/>
          <w:sz w:val="15"/>
          <w:szCs w:val="15"/>
          <w:color w:val="auto"/>
        </w:rPr>
        <w:t>,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the reasonable expenses of every such investigation shall be paid by the Issuer or, if paid by the Trustee or any predecessor trustee, shall be repaid by the Issuer upon demand; and</w:t>
      </w:r>
    </w:p>
    <w:p>
      <w:pPr>
        <w:spacing w:after="0" w:line="160" w:lineRule="exact"/>
        <w:rPr>
          <w:rFonts w:ascii="Arial" w:cs="Arial" w:eastAsia="Arial" w:hAnsi="Arial"/>
          <w:sz w:val="15"/>
          <w:szCs w:val="15"/>
          <w:color w:val="auto"/>
        </w:rPr>
      </w:pPr>
    </w:p>
    <w:p>
      <w:pPr>
        <w:ind w:left="660" w:right="20" w:hanging="590"/>
        <w:spacing w:after="0" w:line="252" w:lineRule="auto"/>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w:t>
      </w:r>
    </w:p>
    <w:p>
      <w:pPr>
        <w:spacing w:after="0" w:line="377"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9525</wp:posOffset>
            </wp:positionV>
            <wp:extent cx="714375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8">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0120"/>
          </w:cols>
          <w:pgMar w:left="1440" w:top="846" w:right="339" w:bottom="1440" w:gutter="0" w:footer="0" w:header="0"/>
        </w:sectPr>
      </w:pPr>
    </w:p>
    <w:bookmarkStart w:id="77" w:name="page78"/>
    <w:bookmarkEnd w:id="77"/>
    <w:p>
      <w:pPr>
        <w:ind w:right="20" w:firstLine="595"/>
        <w:spacing w:after="0" w:line="249"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i w:val="1"/>
          <w:iCs w:val="1"/>
          <w:color w:val="auto"/>
        </w:rPr>
        <w:t>Trustee Not Responsible for Recitals, Disposition of Securities or Application of Proceeds Thereof.</w:t>
      </w:r>
      <w:r>
        <w:rPr>
          <w:rFonts w:ascii="Arial" w:cs="Arial" w:eastAsia="Arial" w:hAnsi="Arial"/>
          <w:sz w:val="17"/>
          <w:szCs w:val="17"/>
          <w:color w:val="auto"/>
        </w:rPr>
        <w:t xml:space="preserve"> The recitals contained herein and in the Securities, except the Trustee’s certificates of authentication, shall be taken as the statements of the Issuer, and the Trustee assumes no responsibility for the correctness of the same. The Trustee makes no representation as to the validity or sufficiency of this Indenture or of the Securities. The Trustee shall not be accountable for the use or application by the Issuer of any of the Securities or of the proceeds thereof.</w:t>
      </w:r>
    </w:p>
    <w:p>
      <w:pPr>
        <w:spacing w:after="0" w:line="181" w:lineRule="exact"/>
        <w:rPr>
          <w:sz w:val="20"/>
          <w:szCs w:val="20"/>
          <w:color w:val="auto"/>
        </w:rPr>
      </w:pPr>
    </w:p>
    <w:p>
      <w:pPr>
        <w:ind w:right="160" w:firstLine="595"/>
        <w:spacing w:after="0" w:line="301" w:lineRule="auto"/>
        <w:rPr>
          <w:sz w:val="20"/>
          <w:szCs w:val="20"/>
          <w:color w:val="auto"/>
        </w:rPr>
      </w:pPr>
      <w:r>
        <w:rPr>
          <w:rFonts w:ascii="Arial" w:cs="Arial" w:eastAsia="Arial" w:hAnsi="Arial"/>
          <w:sz w:val="15"/>
          <w:szCs w:val="15"/>
          <w:color w:val="auto"/>
        </w:rPr>
        <w:t xml:space="preserve">Section 6.04 </w:t>
      </w:r>
      <w:r>
        <w:rPr>
          <w:rFonts w:ascii="Arial" w:cs="Arial" w:eastAsia="Arial" w:hAnsi="Arial"/>
          <w:sz w:val="15"/>
          <w:szCs w:val="15"/>
          <w:i w:val="1"/>
          <w:iCs w:val="1"/>
          <w:color w:val="auto"/>
        </w:rPr>
        <w:t>Trustee and Agents May Hold Securities; Collections, Etc.</w:t>
      </w:r>
      <w:r>
        <w:rPr>
          <w:rFonts w:ascii="Arial" w:cs="Arial" w:eastAsia="Arial" w:hAnsi="Arial"/>
          <w:sz w:val="15"/>
          <w:szCs w:val="15"/>
          <w:color w:val="auto"/>
        </w:rPr>
        <w:t xml:space="preserve"> The Trustee or any agent of the Issuer or the Trustee, in its individual or any other capacity, may become the owner or pledgee of Securities with the same rights it would have if it were not the Trustee or such agent and may otherwise deal with the Issuer and receive, collect, hold and retain collections from the Issuer with the same rights it would have if it were not the Trustee or such agent.</w:t>
      </w:r>
    </w:p>
    <w:p>
      <w:pPr>
        <w:spacing w:after="0" w:line="145" w:lineRule="exact"/>
        <w:rPr>
          <w:sz w:val="20"/>
          <w:szCs w:val="20"/>
          <w:color w:val="auto"/>
        </w:rPr>
      </w:pPr>
    </w:p>
    <w:p>
      <w:pPr>
        <w:jc w:val="both"/>
        <w:ind w:right="180" w:firstLine="595"/>
        <w:spacing w:after="0" w:line="331" w:lineRule="auto"/>
        <w:rPr>
          <w:sz w:val="20"/>
          <w:szCs w:val="20"/>
          <w:color w:val="auto"/>
        </w:rPr>
      </w:pPr>
      <w:r>
        <w:rPr>
          <w:rFonts w:ascii="Arial" w:cs="Arial" w:eastAsia="Arial" w:hAnsi="Arial"/>
          <w:sz w:val="14"/>
          <w:szCs w:val="14"/>
          <w:color w:val="auto"/>
        </w:rPr>
        <w:t xml:space="preserve">Section 6.05 </w:t>
      </w:r>
      <w:r>
        <w:rPr>
          <w:rFonts w:ascii="Arial" w:cs="Arial" w:eastAsia="Arial" w:hAnsi="Arial"/>
          <w:sz w:val="14"/>
          <w:szCs w:val="14"/>
          <w:i w:val="1"/>
          <w:iCs w:val="1"/>
          <w:color w:val="auto"/>
        </w:rPr>
        <w:t>Moneys Held by Trustee.</w:t>
      </w:r>
      <w:r>
        <w:rPr>
          <w:rFonts w:ascii="Arial" w:cs="Arial" w:eastAsia="Arial" w:hAnsi="Arial"/>
          <w:sz w:val="14"/>
          <w:szCs w:val="14"/>
          <w:color w:val="auto"/>
        </w:rPr>
        <w:t xml:space="preserve"> Subject to the provisions of Section 10.04 hereof, all moneys received by the Trustee shall, until used or applied as herein provided, be held in trust for the purposes for which they were received, but need not be segregated from other funds except to the extent required by mandatory provisions of law. Neither the Trustee nor any agent of the Issuer or the Trustee shall be under any liability for interest on any moneys received by it hereunder.</w:t>
      </w:r>
    </w:p>
    <w:p>
      <w:pPr>
        <w:spacing w:after="0" w:line="128" w:lineRule="exact"/>
        <w:rPr>
          <w:sz w:val="20"/>
          <w:szCs w:val="20"/>
          <w:color w:val="auto"/>
        </w:rPr>
      </w:pPr>
    </w:p>
    <w:p>
      <w:pPr>
        <w:ind w:firstLine="595"/>
        <w:spacing w:after="0" w:line="280" w:lineRule="auto"/>
        <w:rPr>
          <w:sz w:val="20"/>
          <w:szCs w:val="20"/>
          <w:color w:val="auto"/>
        </w:rPr>
      </w:pPr>
      <w:r>
        <w:rPr>
          <w:rFonts w:ascii="Arial" w:cs="Arial" w:eastAsia="Arial" w:hAnsi="Arial"/>
          <w:sz w:val="15"/>
          <w:szCs w:val="15"/>
          <w:color w:val="auto"/>
        </w:rPr>
        <w:t xml:space="preserve">Section 6.06 </w:t>
      </w:r>
      <w:r>
        <w:rPr>
          <w:rFonts w:ascii="Arial" w:cs="Arial" w:eastAsia="Arial" w:hAnsi="Arial"/>
          <w:sz w:val="15"/>
          <w:szCs w:val="15"/>
          <w:i w:val="1"/>
          <w:iCs w:val="1"/>
          <w:color w:val="auto"/>
        </w:rPr>
        <w:t>Compensation and Indemnification of Trustee and Its Prior Claim.</w:t>
      </w:r>
      <w:r>
        <w:rPr>
          <w:rFonts w:ascii="Arial" w:cs="Arial" w:eastAsia="Arial" w:hAnsi="Arial"/>
          <w:sz w:val="15"/>
          <w:szCs w:val="15"/>
          <w:color w:val="auto"/>
        </w:rPr>
        <w:t xml:space="preserve"> The Issuer covenants and agrees to pay to the Trustee from time to time, and the Trustee shall be entitled to, such reasonable compensation (which shall not be limited by any provision of law in regard to the compensation of a trustee of an express trust) as the Issuer and the Trustee may from time to time agree in writing and, except as otherwise expressly provided herein, the Issuer covenants and agrees to pay or reimburse the Trustee and each predecessor trustee upon its request for all reasonable expenses, disbursements and advances incurred or made by or on behalf of it in accordance with any of the provisions of this Indenture (including the reasonable compensation and the expenses and disbursements of its counsel and of all agents and other persons not regularly in its employ) except any such expense, disbursement or advance as may arise from its negligence or bad faith. The Issuer also covenants to indemnify the Trustee and each predecessor trustee for, and to hold it harmless against, any loss, liability or expense incurred without negligence or bad faith on its part, arising out of or in connection with the acceptance or administration of this Indenture or the trusts hereunder and its duties hereunder, including the costs and expenses of defending itself against or investigating any claim of liability in the premises. The obligations of the Issuer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Such additional indebtedness shall be a senior claim to that of the Securities upon all property and funds held or collected by the Trustee as such, except funds held in trust for the benefit of the Holders of particular Securities, and the Securities are hereby subordinated to such senior claim.</w:t>
      </w:r>
    </w:p>
    <w:p>
      <w:pPr>
        <w:spacing w:after="0" w:line="36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9">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78" w:name="page79"/>
    <w:bookmarkEnd w:id="78"/>
    <w:p>
      <w:pPr>
        <w:ind w:right="80" w:firstLine="595"/>
        <w:spacing w:after="0" w:line="288" w:lineRule="auto"/>
        <w:rPr>
          <w:sz w:val="20"/>
          <w:szCs w:val="20"/>
          <w:color w:val="auto"/>
        </w:rPr>
      </w:pPr>
      <w:r>
        <w:rPr>
          <w:rFonts w:ascii="Arial" w:cs="Arial" w:eastAsia="Arial" w:hAnsi="Arial"/>
          <w:sz w:val="15"/>
          <w:szCs w:val="15"/>
          <w:color w:val="auto"/>
        </w:rPr>
        <w:t>Section 6.07 Right of Trustee to Rely on Officer’s Certificate, Etc. Subject to Sections 6.01 and 6.02,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spacing w:after="0" w:line="156" w:lineRule="exact"/>
        <w:rPr>
          <w:sz w:val="20"/>
          <w:szCs w:val="20"/>
          <w:color w:val="auto"/>
        </w:rPr>
      </w:pPr>
    </w:p>
    <w:p>
      <w:pPr>
        <w:ind w:right="40" w:firstLine="595"/>
        <w:spacing w:after="0" w:line="327" w:lineRule="auto"/>
        <w:rPr>
          <w:sz w:val="20"/>
          <w:szCs w:val="20"/>
          <w:color w:val="auto"/>
        </w:rPr>
      </w:pPr>
      <w:r>
        <w:rPr>
          <w:rFonts w:ascii="Arial" w:cs="Arial" w:eastAsia="Arial" w:hAnsi="Arial"/>
          <w:sz w:val="15"/>
          <w:szCs w:val="15"/>
          <w:color w:val="auto"/>
        </w:rPr>
        <w:t xml:space="preserve">Section 6.08 </w:t>
      </w:r>
      <w:r>
        <w:rPr>
          <w:rFonts w:ascii="Arial" w:cs="Arial" w:eastAsia="Arial" w:hAnsi="Arial"/>
          <w:sz w:val="15"/>
          <w:szCs w:val="15"/>
          <w:i w:val="1"/>
          <w:iCs w:val="1"/>
          <w:color w:val="auto"/>
        </w:rPr>
        <w:t>Disqualification; Conflicting Interests.</w:t>
      </w:r>
      <w:r>
        <w:rPr>
          <w:rFonts w:ascii="Arial" w:cs="Arial" w:eastAsia="Arial" w:hAnsi="Arial"/>
          <w:sz w:val="15"/>
          <w:szCs w:val="15"/>
          <w:color w:val="auto"/>
        </w:rPr>
        <w:t xml:space="preserve"> If the Trustee has or shall acquire any "conflicting interest" within the meaning of Section 310(b) of the Trust Indenture Act, the Trustee and the Issuer shall in all respects comply with the provisions of Section 310(b) of the Trust Indenture Act.</w:t>
      </w:r>
    </w:p>
    <w:p>
      <w:pPr>
        <w:spacing w:after="0" w:line="125" w:lineRule="exact"/>
        <w:rPr>
          <w:sz w:val="20"/>
          <w:szCs w:val="20"/>
          <w:color w:val="auto"/>
        </w:rPr>
      </w:pPr>
    </w:p>
    <w:p>
      <w:pPr>
        <w:ind w:right="80" w:firstLine="595"/>
        <w:spacing w:after="0" w:line="247" w:lineRule="auto"/>
        <w:rPr>
          <w:sz w:val="20"/>
          <w:szCs w:val="20"/>
          <w:color w:val="auto"/>
        </w:rPr>
      </w:pPr>
      <w:r>
        <w:rPr>
          <w:rFonts w:ascii="Arial" w:cs="Arial" w:eastAsia="Arial" w:hAnsi="Arial"/>
          <w:sz w:val="17"/>
          <w:szCs w:val="17"/>
          <w:color w:val="auto"/>
        </w:rPr>
        <w:t xml:space="preserve">Section 6.09 </w:t>
      </w:r>
      <w:r>
        <w:rPr>
          <w:rFonts w:ascii="Arial" w:cs="Arial" w:eastAsia="Arial" w:hAnsi="Arial"/>
          <w:sz w:val="17"/>
          <w:szCs w:val="17"/>
          <w:i w:val="1"/>
          <w:iCs w:val="1"/>
          <w:color w:val="auto"/>
        </w:rPr>
        <w:t>Persons Eligible for Appointment as Trustee.</w:t>
      </w:r>
      <w:r>
        <w:rPr>
          <w:rFonts w:ascii="Arial" w:cs="Arial" w:eastAsia="Arial" w:hAnsi="Arial"/>
          <w:sz w:val="17"/>
          <w:szCs w:val="17"/>
          <w:color w:val="auto"/>
        </w:rPr>
        <w:t xml:space="preserve"> The Trustee for each series of Securities hereunder shall at all times be a corporation having a combined capital and surplus of at least $50,000,000 and shall be eligible in accordance with the provisions of Section 310(a) of the Trust Indenture Act of 1939. If such corporation publishes reports of condition at least annually, pursuant to law or to the requirements of a Federal, State or District of Columbia supervising or examining authority, then, for the purposes of this Section, the combined capital and surplus of such corporation shall be deemed to be its combined capital and surplus as set forth in its most recent report of condition so published.</w:t>
      </w:r>
    </w:p>
    <w:p>
      <w:pPr>
        <w:spacing w:after="0" w:line="185" w:lineRule="exact"/>
        <w:rPr>
          <w:sz w:val="20"/>
          <w:szCs w:val="20"/>
          <w:color w:val="auto"/>
        </w:rPr>
      </w:pPr>
    </w:p>
    <w:p>
      <w:pPr>
        <w:ind w:firstLine="595"/>
        <w:spacing w:after="0" w:line="282" w:lineRule="auto"/>
        <w:rPr>
          <w:sz w:val="20"/>
          <w:szCs w:val="20"/>
          <w:color w:val="auto"/>
        </w:rPr>
      </w:pPr>
      <w:r>
        <w:rPr>
          <w:rFonts w:ascii="Arial" w:cs="Arial" w:eastAsia="Arial" w:hAnsi="Arial"/>
          <w:sz w:val="15"/>
          <w:szCs w:val="15"/>
          <w:color w:val="auto"/>
        </w:rPr>
        <w:t xml:space="preserve">Section 6.10 </w:t>
      </w:r>
      <w:r>
        <w:rPr>
          <w:rFonts w:ascii="Arial" w:cs="Arial" w:eastAsia="Arial" w:hAnsi="Arial"/>
          <w:sz w:val="15"/>
          <w:szCs w:val="15"/>
          <w:i w:val="1"/>
          <w:iCs w:val="1"/>
          <w:color w:val="auto"/>
        </w:rPr>
        <w:t>Resignation and Removal; Appointment of Successor Trustee.</w:t>
      </w:r>
      <w:r>
        <w:rPr>
          <w:rFonts w:ascii="Arial" w:cs="Arial" w:eastAsia="Arial" w:hAnsi="Arial"/>
          <w:sz w:val="15"/>
          <w:szCs w:val="15"/>
          <w:color w:val="auto"/>
        </w:rPr>
        <w:t xml:space="preserve"> (a) The Trustee, or any trustee or trustees hereafter appointed, may at any time resign with respect to one or more or all series of Securities by giving written notice of resignation to the Issuer and by delivering notice of such resignation to the Holders of then Outstanding Securities of each series affected at their addresses as they shall appear on the Security register. Upon receiving such notice of resignation, the Issuer shall promptly appoint a successor trustee or trustees with respect to the applicable series by written instrument in duplicate, executed by authority of the Board of Directors, one copy of which instrument shall be delivered to the resigning Trustee and one copy to the successor trustee or trustees. If no successor trustee shall have been so appointed with respect to any series and have accepted appointment within 30 days after the delivery of such notice of resignation, the resigning trustee may petition any court of competent jurisdiction for the appointment of a successor trustee, or any Securityholder who has been a bona fide Holder of a Security or Securities of the applicable series for at least six months may, on behalf of himself or herself and all others similarly situated, petition any such court for the appointment of a successor trustee. Such court may thereupon, after such notice, if any, as it may deem proper and prescribe, appoint a successor trustee.</w:t>
      </w:r>
    </w:p>
    <w:p>
      <w:pPr>
        <w:spacing w:after="0" w:line="160" w:lineRule="exact"/>
        <w:rPr>
          <w:sz w:val="20"/>
          <w:szCs w:val="20"/>
          <w:color w:val="auto"/>
        </w:rPr>
      </w:pPr>
    </w:p>
    <w:p>
      <w:pPr>
        <w:ind w:left="1780" w:hanging="590"/>
        <w:spacing w:after="0"/>
        <w:tabs>
          <w:tab w:leader="none" w:pos="17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 case at any time any of the following shall occur:</w:t>
      </w:r>
    </w:p>
    <w:p>
      <w:pPr>
        <w:spacing w:after="0" w:line="201" w:lineRule="exact"/>
        <w:rPr>
          <w:rFonts w:ascii="Arial" w:cs="Arial" w:eastAsia="Arial" w:hAnsi="Arial"/>
          <w:sz w:val="17"/>
          <w:szCs w:val="17"/>
          <w:color w:val="auto"/>
        </w:rPr>
      </w:pPr>
    </w:p>
    <w:p>
      <w:pPr>
        <w:ind w:left="2380" w:right="100" w:hanging="595"/>
        <w:spacing w:after="0" w:line="252" w:lineRule="auto"/>
        <w:tabs>
          <w:tab w:leader="none" w:pos="2380" w:val="left"/>
        </w:tabs>
        <w:numPr>
          <w:ilvl w:val="1"/>
          <w:numId w:val="62"/>
        </w:numPr>
        <w:rPr>
          <w:rFonts w:ascii="Arial" w:cs="Arial" w:eastAsia="Arial" w:hAnsi="Arial"/>
          <w:sz w:val="17"/>
          <w:szCs w:val="17"/>
          <w:color w:val="auto"/>
        </w:rPr>
      </w:pPr>
      <w:r>
        <w:rPr>
          <w:rFonts w:ascii="Arial" w:cs="Arial" w:eastAsia="Arial" w:hAnsi="Arial"/>
          <w:sz w:val="17"/>
          <w:szCs w:val="17"/>
          <w:color w:val="auto"/>
        </w:rPr>
        <w:t>the Trustee shall fail to comply with the provisions of Section 310(b) of the Trust Indenture Act of 1939 with respect to any series of Securities after written request therefor by the Issuer or by any Securityholder who has been a bona fide Holder of a Security or Securities of such series for at least six months; or</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0">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79" w:name="page80"/>
    <w:bookmarkEnd w:id="79"/>
    <w:p>
      <w:pPr>
        <w:ind w:left="2380" w:right="80" w:hanging="595"/>
        <w:spacing w:after="0" w:line="260" w:lineRule="auto"/>
        <w:tabs>
          <w:tab w:leader="none" w:pos="23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Trustee shall cease to be eligible in accordance with the provisions of Section 310(a) of the Trust Indenture Act of 1939 and shall fail to resign after written request therefor by the Issuer or by any Securityholder; or</w:t>
      </w:r>
    </w:p>
    <w:p>
      <w:pPr>
        <w:spacing w:after="0" w:line="171" w:lineRule="exact"/>
        <w:rPr>
          <w:rFonts w:ascii="Arial" w:cs="Arial" w:eastAsia="Arial" w:hAnsi="Arial"/>
          <w:sz w:val="17"/>
          <w:szCs w:val="17"/>
          <w:color w:val="auto"/>
        </w:rPr>
      </w:pPr>
    </w:p>
    <w:p>
      <w:pPr>
        <w:ind w:left="2380" w:right="120" w:hanging="595"/>
        <w:spacing w:after="0" w:line="301" w:lineRule="auto"/>
        <w:tabs>
          <w:tab w:leader="none" w:pos="23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Trustee shall become incapable of acting with respect to any series of Securities, or shall be adjudged bankrupt or insolvent, or a receiver or liquidator of the Trustee or of its property shall be appointed, or any public officer shall take charge or control of the Trustee or of its property or affairs for the purpose of rehabilitation, conservation or liquidation;</w:t>
      </w:r>
    </w:p>
    <w:p>
      <w:pPr>
        <w:spacing w:after="0" w:line="145" w:lineRule="exact"/>
        <w:rPr>
          <w:sz w:val="20"/>
          <w:szCs w:val="20"/>
          <w:color w:val="auto"/>
        </w:rPr>
      </w:pPr>
    </w:p>
    <w:p>
      <w:pPr>
        <w:ind w:left="600" w:right="20"/>
        <w:spacing w:after="0" w:line="286" w:lineRule="auto"/>
        <w:rPr>
          <w:sz w:val="20"/>
          <w:szCs w:val="20"/>
          <w:color w:val="auto"/>
        </w:rPr>
      </w:pPr>
      <w:r>
        <w:rPr>
          <w:rFonts w:ascii="Arial" w:cs="Arial" w:eastAsia="Arial" w:hAnsi="Arial"/>
          <w:sz w:val="15"/>
          <w:szCs w:val="15"/>
          <w:color w:val="auto"/>
        </w:rPr>
        <w:t>then, in any such case, (A) the Issuer may remove the Trustee with respect to the applicable series of Securities and appoint a successor trustee for such series by written instrument, in duplicate, executed by order of the Board of Directors, one copy of which instrument shall be delivered to the Trustee so removed and one copy to the successor trustee, or, (B) subject to Section 315(e) of the Trust Indenture Act of 1939, any Securityholder who has been a bona fide Holder of a Security or Securities of such series for at least six months may on behalf of itself and all others similarly situated, petition any court of competent jurisdiction for the removal of the Trustee and the appointment of a successor trustee with respect to such series. Such court may thereupon, after such notice, if any, as it may deem proper and prescribe, remove the Trustee and appoint a successor trustee.</w:t>
      </w:r>
    </w:p>
    <w:p>
      <w:pPr>
        <w:spacing w:after="0" w:line="156" w:lineRule="exact"/>
        <w:rPr>
          <w:sz w:val="20"/>
          <w:szCs w:val="20"/>
          <w:color w:val="auto"/>
        </w:rPr>
      </w:pPr>
    </w:p>
    <w:p>
      <w:pPr>
        <w:ind w:left="1780" w:hanging="590"/>
        <w:spacing w:after="0" w:line="249" w:lineRule="auto"/>
        <w:tabs>
          <w:tab w:leader="none" w:pos="17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Holders of a majority in aggregate principal amount of the Securities of each series at the time Outstanding may at any time remove the Trustee with respect to Securities of such series and, with the consent of the Issuer, appoint a successor trustee with respect to the Securities of such series by delivering to the Trustee so removed, to the successor trustee so appointed and to the Issuer the evidence provided for in Section 7.01 of the action in that regard taken by the Securityholders.</w:t>
      </w:r>
    </w:p>
    <w:p>
      <w:pPr>
        <w:spacing w:after="0" w:line="181" w:lineRule="exact"/>
        <w:rPr>
          <w:rFonts w:ascii="Arial" w:cs="Arial" w:eastAsia="Arial" w:hAnsi="Arial"/>
          <w:sz w:val="17"/>
          <w:szCs w:val="17"/>
          <w:color w:val="auto"/>
        </w:rPr>
      </w:pPr>
    </w:p>
    <w:p>
      <w:pPr>
        <w:ind w:left="1780" w:right="320" w:hanging="590"/>
        <w:spacing w:after="0" w:line="252" w:lineRule="auto"/>
        <w:tabs>
          <w:tab w:leader="none" w:pos="17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Any resignation or removal of the Trustee with respect to any series and any appointment of a successor trustee with respect to such series pursuant to any of the provisions of this Section 6.10 shall become effective upon acceptance of appointment by the successor trustee as provided in Section 6.11.</w:t>
      </w:r>
    </w:p>
    <w:p>
      <w:pPr>
        <w:spacing w:after="0" w:line="178" w:lineRule="exact"/>
        <w:rPr>
          <w:sz w:val="20"/>
          <w:szCs w:val="20"/>
          <w:color w:val="auto"/>
        </w:rPr>
      </w:pPr>
    </w:p>
    <w:p>
      <w:pPr>
        <w:ind w:firstLine="595"/>
        <w:spacing w:after="0" w:line="299" w:lineRule="auto"/>
        <w:rPr>
          <w:sz w:val="20"/>
          <w:szCs w:val="20"/>
          <w:color w:val="auto"/>
        </w:rPr>
      </w:pPr>
      <w:r>
        <w:rPr>
          <w:rFonts w:ascii="Arial" w:cs="Arial" w:eastAsia="Arial" w:hAnsi="Arial"/>
          <w:sz w:val="14"/>
          <w:szCs w:val="14"/>
          <w:color w:val="auto"/>
        </w:rPr>
        <w:t xml:space="preserve">Section 6.11 </w:t>
      </w:r>
      <w:r>
        <w:rPr>
          <w:rFonts w:ascii="Arial" w:cs="Arial" w:eastAsia="Arial" w:hAnsi="Arial"/>
          <w:sz w:val="14"/>
          <w:szCs w:val="14"/>
          <w:i w:val="1"/>
          <w:iCs w:val="1"/>
          <w:color w:val="auto"/>
        </w:rPr>
        <w:t>Acceptance of Appointment by Successor Trustee.</w:t>
      </w:r>
      <w:r>
        <w:rPr>
          <w:rFonts w:ascii="Arial" w:cs="Arial" w:eastAsia="Arial" w:hAnsi="Arial"/>
          <w:sz w:val="14"/>
          <w:szCs w:val="14"/>
          <w:color w:val="auto"/>
        </w:rPr>
        <w:t xml:space="preserve"> Any successor trustee appointed as provided in Section 6.10 shall execute and deliver to the Issuer and to its predecessor trustee an instrument accepting such appointment hereunder, and thereupon the resignation or removal of the predecessor trustee with respect to all or any applicable series shall become effective and such successor trustee, without any further act, deed or conveyance, shall become vested with all rights, powers, duties and obligations with respect to such series of its predecessor hereunder, with like effect as if originally named as trustee for such series hereunder; but, nevertheless, on the written request of the Issuer or of the successor trustee, upon payment of its charges then unpaid, the trustee ceasing to act shall, subject to Section</w:t>
      </w:r>
    </w:p>
    <w:p>
      <w:pPr>
        <w:ind w:right="180"/>
        <w:spacing w:after="0" w:line="288" w:lineRule="auto"/>
        <w:rPr>
          <w:sz w:val="20"/>
          <w:szCs w:val="20"/>
          <w:color w:val="auto"/>
        </w:rPr>
      </w:pPr>
      <w:r>
        <w:rPr>
          <w:rFonts w:ascii="Arial" w:cs="Arial" w:eastAsia="Arial" w:hAnsi="Arial"/>
          <w:sz w:val="15"/>
          <w:szCs w:val="15"/>
          <w:color w:val="auto"/>
        </w:rPr>
        <w:t>10.04, pay over to the successor trustee all moneys at the time held by it hereunder and shall execute and deliver an instrument transferring to such successor trustee all such rights, powers, duties and obligations. Upon request of any such successor trustee, the Issuer shall execute any and all instruments in writing for more fully and certainly vesting in and confirming to such successor trustee all such rights and powers. Any trustee ceasing to act shall, nevertheless, retain a prior claim upon all property or funds held or collected by such trustee to secure any amounts then due it pursuant to the provisions of Section 6.06.</w:t>
      </w:r>
    </w:p>
    <w:p>
      <w:pPr>
        <w:spacing w:after="0" w:line="35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1">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80" w:name="page81"/>
    <w:bookmarkEnd w:id="80"/>
    <w:p>
      <w:pPr>
        <w:ind w:right="40" w:firstLine="595"/>
        <w:spacing w:after="0" w:line="310" w:lineRule="auto"/>
        <w:rPr>
          <w:sz w:val="20"/>
          <w:szCs w:val="20"/>
          <w:color w:val="auto"/>
        </w:rPr>
      </w:pPr>
      <w:r>
        <w:rPr>
          <w:rFonts w:ascii="Arial" w:cs="Arial" w:eastAsia="Arial" w:hAnsi="Arial"/>
          <w:sz w:val="14"/>
          <w:szCs w:val="14"/>
          <w:color w:val="auto"/>
        </w:rPr>
        <w:t>If a successor trustee is appointed with respect to the Securities of one or more (but not all) series, the Issuer,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retiring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under separate indentures.</w:t>
      </w:r>
    </w:p>
    <w:p>
      <w:pPr>
        <w:spacing w:after="0" w:line="141" w:lineRule="exact"/>
        <w:rPr>
          <w:sz w:val="20"/>
          <w:szCs w:val="20"/>
          <w:color w:val="auto"/>
        </w:rPr>
      </w:pPr>
    </w:p>
    <w:p>
      <w:pPr>
        <w:ind w:firstLine="595"/>
        <w:spacing w:after="0" w:line="252" w:lineRule="auto"/>
        <w:rPr>
          <w:sz w:val="20"/>
          <w:szCs w:val="20"/>
          <w:color w:val="auto"/>
        </w:rPr>
      </w:pPr>
      <w:r>
        <w:rPr>
          <w:rFonts w:ascii="Arial" w:cs="Arial" w:eastAsia="Arial" w:hAnsi="Arial"/>
          <w:sz w:val="17"/>
          <w:szCs w:val="17"/>
          <w:color w:val="auto"/>
        </w:rPr>
        <w:t>No successor trustee with respect to any series of Securities shall accept appointment as provided in this Section 6.11 unless at the time of such acceptance such successor trustee shall be qualified under the provisions of Section 310(b) of the Trust Indenture Act of 1939 and eligible under the provisions of Section 310(a) of the Trust Indenture Act of 1939.</w:t>
      </w:r>
    </w:p>
    <w:p>
      <w:pPr>
        <w:spacing w:after="0" w:line="178" w:lineRule="exact"/>
        <w:rPr>
          <w:sz w:val="20"/>
          <w:szCs w:val="20"/>
          <w:color w:val="auto"/>
        </w:rPr>
      </w:pPr>
    </w:p>
    <w:p>
      <w:pPr>
        <w:ind w:firstLine="595"/>
        <w:spacing w:after="0" w:line="247" w:lineRule="auto"/>
        <w:rPr>
          <w:sz w:val="20"/>
          <w:szCs w:val="20"/>
          <w:color w:val="auto"/>
        </w:rPr>
      </w:pPr>
      <w:r>
        <w:rPr>
          <w:rFonts w:ascii="Arial" w:cs="Arial" w:eastAsia="Arial" w:hAnsi="Arial"/>
          <w:sz w:val="17"/>
          <w:szCs w:val="17"/>
          <w:color w:val="auto"/>
        </w:rPr>
        <w:t>Upon acceptance of appointment by any successor trustee as provided in this Section 6.11, the Issuer shall deliver notice thereof to the Holders of Securities of each series affected, by delivering such notice to such Holders at their addresses as they shall appear on the Security register. If the acceptance of appointment is substantially contemporaneous with the resignation, then the notice called for by the preceding sentence may be combined with the notice called for by Section 6.10. If the Issuer fails to deliver such notice within ten days after acceptance of appointment by the successor trustee, the successor trustee shall cause such notice to be given at the expense of the Issuer.</w:t>
      </w:r>
    </w:p>
    <w:p>
      <w:pPr>
        <w:spacing w:after="0" w:line="185" w:lineRule="exact"/>
        <w:rPr>
          <w:sz w:val="20"/>
          <w:szCs w:val="20"/>
          <w:color w:val="auto"/>
        </w:rPr>
      </w:pPr>
    </w:p>
    <w:p>
      <w:pPr>
        <w:ind w:firstLine="595"/>
        <w:spacing w:after="0" w:line="288" w:lineRule="auto"/>
        <w:rPr>
          <w:sz w:val="20"/>
          <w:szCs w:val="20"/>
          <w:color w:val="auto"/>
        </w:rPr>
      </w:pPr>
      <w:r>
        <w:rPr>
          <w:rFonts w:ascii="Arial" w:cs="Arial" w:eastAsia="Arial" w:hAnsi="Arial"/>
          <w:sz w:val="15"/>
          <w:szCs w:val="15"/>
          <w:color w:val="auto"/>
        </w:rPr>
        <w:t xml:space="preserve">Section 6.12 </w:t>
      </w:r>
      <w:r>
        <w:rPr>
          <w:rFonts w:ascii="Arial" w:cs="Arial" w:eastAsia="Arial" w:hAnsi="Arial"/>
          <w:sz w:val="15"/>
          <w:szCs w:val="15"/>
          <w:i w:val="1"/>
          <w:iCs w:val="1"/>
          <w:color w:val="auto"/>
        </w:rPr>
        <w:t>Merger, Conversion, Consolidation or Succession to Business of Trustee.</w:t>
      </w:r>
      <w:r>
        <w:rPr>
          <w:rFonts w:ascii="Arial" w:cs="Arial" w:eastAsia="Arial" w:hAnsi="Arial"/>
          <w:sz w:val="15"/>
          <w:szCs w:val="15"/>
          <w:color w:val="auto"/>
        </w:rPr>
        <w:t xml:space="preserve"> 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w:t>
      </w:r>
      <w:r>
        <w:rPr>
          <w:rFonts w:ascii="Arial" w:cs="Arial" w:eastAsia="Arial" w:hAnsi="Arial"/>
          <w:sz w:val="15"/>
          <w:szCs w:val="15"/>
          <w:i w:val="1"/>
          <w:iCs w:val="1"/>
          <w:color w:val="auto"/>
        </w:rPr>
        <w:t>provided</w:t>
      </w:r>
      <w:r>
        <w:rPr>
          <w:rFonts w:ascii="Arial" w:cs="Arial" w:eastAsia="Arial" w:hAnsi="Arial"/>
          <w:sz w:val="15"/>
          <w:szCs w:val="15"/>
          <w:color w:val="auto"/>
        </w:rPr>
        <w:t>, that such corporation shall be qualified under the provisions of Section 310(b) of the Trust Indenture Act of 1939 and eligible under the provisions of Section 310(a) of the Trust Indenture Act of 1939, without the execution or filing of any paper or any further act on the part of any of the parties hereto, anything herein to the contrary notwithstanding.</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2">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160"/>
          </w:cols>
          <w:pgMar w:left="320" w:top="846" w:right="419" w:bottom="1440" w:gutter="0" w:footer="0" w:header="0"/>
        </w:sectPr>
      </w:pPr>
    </w:p>
    <w:bookmarkStart w:id="81" w:name="page82"/>
    <w:bookmarkEnd w:id="81"/>
    <w:p>
      <w:pPr>
        <w:ind w:firstLine="595"/>
        <w:spacing w:after="0" w:line="284" w:lineRule="auto"/>
        <w:rPr>
          <w:sz w:val="20"/>
          <w:szCs w:val="20"/>
          <w:color w:val="auto"/>
        </w:rPr>
      </w:pPr>
      <w:r>
        <w:rPr>
          <w:rFonts w:ascii="Arial" w:cs="Arial" w:eastAsia="Arial" w:hAnsi="Arial"/>
          <w:sz w:val="15"/>
          <w:szCs w:val="15"/>
          <w:color w:val="auto"/>
        </w:rPr>
        <w:t xml:space="preserve">In case, at the time such successor to the Trustee shall succeed to the trusts created by this Indenture, any of the Securities of any series shall have been authenticated but not delivered, any such successor to the Trustee may adopt the certificate of authentication of any predecessor trustee and deliver such Securities so authenticated; and, in case at that time any of the Securities of any series shall not have been authenticated, any successor to the Trustee may authenticate such Securities either in the name of any predecessor hereunder or in the name of the successor trustee; and in all such cases such certificate shall have the full force which it is anywhere in the Securities of such series or in this Indenture provided that the certificate of the Trustee shall have; </w:t>
      </w:r>
      <w:r>
        <w:rPr>
          <w:rFonts w:ascii="Arial" w:cs="Arial" w:eastAsia="Arial" w:hAnsi="Arial"/>
          <w:sz w:val="15"/>
          <w:szCs w:val="15"/>
          <w:i w:val="1"/>
          <w:iCs w:val="1"/>
          <w:color w:val="auto"/>
        </w:rPr>
        <w:t>provided</w:t>
      </w:r>
      <w:r>
        <w:rPr>
          <w:rFonts w:ascii="Arial" w:cs="Arial" w:eastAsia="Arial" w:hAnsi="Arial"/>
          <w:sz w:val="15"/>
          <w:szCs w:val="15"/>
          <w:color w:val="auto"/>
        </w:rPr>
        <w:t>, that the right to adopt the certificate of authentication of any predecessor trustee or to authenticate Securities of any series in the name of any predecessor trustee shall apply only to its successor or successors by merger, conversion or consolidation.</w:t>
      </w:r>
    </w:p>
    <w:p>
      <w:pPr>
        <w:spacing w:after="0" w:line="159" w:lineRule="exact"/>
        <w:rPr>
          <w:sz w:val="20"/>
          <w:szCs w:val="20"/>
          <w:color w:val="auto"/>
        </w:rPr>
      </w:pPr>
    </w:p>
    <w:p>
      <w:pPr>
        <w:ind w:right="460" w:firstLine="595"/>
        <w:spacing w:after="0" w:line="252" w:lineRule="auto"/>
        <w:rPr>
          <w:sz w:val="20"/>
          <w:szCs w:val="20"/>
          <w:color w:val="auto"/>
        </w:rPr>
      </w:pPr>
      <w:r>
        <w:rPr>
          <w:rFonts w:ascii="Arial" w:cs="Arial" w:eastAsia="Arial" w:hAnsi="Arial"/>
          <w:sz w:val="17"/>
          <w:szCs w:val="17"/>
          <w:color w:val="auto"/>
        </w:rPr>
        <w:t xml:space="preserve">Section 6.13 </w:t>
      </w:r>
      <w:r>
        <w:rPr>
          <w:rFonts w:ascii="Arial" w:cs="Arial" w:eastAsia="Arial" w:hAnsi="Arial"/>
          <w:sz w:val="17"/>
          <w:szCs w:val="17"/>
          <w:i w:val="1"/>
          <w:iCs w:val="1"/>
          <w:color w:val="auto"/>
        </w:rPr>
        <w:t>Preferential Collection of Claims Against the Issuer</w:t>
      </w:r>
      <w:r>
        <w:rPr>
          <w:rFonts w:ascii="Arial" w:cs="Arial" w:eastAsia="Arial" w:hAnsi="Arial"/>
          <w:sz w:val="17"/>
          <w:szCs w:val="17"/>
          <w:color w:val="auto"/>
        </w:rPr>
        <w:t>. The Trustee shall comply with Section 311(a) of the Trust Indenture Act of 1939, excluding any creditor relationship described in Section 311(b) of the Trust Indenture Act of 1939. A Trustee who has resigned or been removed shall be subject to Section 311(a) of the Trust Indenture Act of 1939 to the extent included therein.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7</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CONCERNING THE SECURITYHOLDERS</w:t>
      </w:r>
    </w:p>
    <w:p>
      <w:pPr>
        <w:spacing w:after="0" w:line="191" w:lineRule="exact"/>
        <w:rPr>
          <w:sz w:val="20"/>
          <w:szCs w:val="20"/>
          <w:color w:val="auto"/>
        </w:rPr>
      </w:pPr>
    </w:p>
    <w:p>
      <w:pPr>
        <w:ind w:firstLine="595"/>
        <w:spacing w:after="0" w:line="286" w:lineRule="auto"/>
        <w:rPr>
          <w:sz w:val="20"/>
          <w:szCs w:val="20"/>
          <w:color w:val="auto"/>
        </w:rPr>
      </w:pPr>
      <w:r>
        <w:rPr>
          <w:rFonts w:ascii="Arial" w:cs="Arial" w:eastAsia="Arial" w:hAnsi="Arial"/>
          <w:sz w:val="15"/>
          <w:szCs w:val="15"/>
          <w:color w:val="auto"/>
        </w:rPr>
        <w:t xml:space="preserve">Section 7.01 </w:t>
      </w:r>
      <w:r>
        <w:rPr>
          <w:rFonts w:ascii="Arial" w:cs="Arial" w:eastAsia="Arial" w:hAnsi="Arial"/>
          <w:sz w:val="15"/>
          <w:szCs w:val="15"/>
          <w:i w:val="1"/>
          <w:iCs w:val="1"/>
          <w:color w:val="auto"/>
        </w:rPr>
        <w:t>Evidence of Action Taken by Securityholders.</w:t>
      </w:r>
      <w:r>
        <w:rPr>
          <w:rFonts w:ascii="Arial" w:cs="Arial" w:eastAsia="Arial" w:hAnsi="Arial"/>
          <w:sz w:val="15"/>
          <w:szCs w:val="15"/>
          <w:color w:val="auto"/>
        </w:rPr>
        <w:t xml:space="preserve"> Any request, demand, authorization, direction, notice, consent, waiver or other action provided by this Indenture to be given or taken by a specified percentage in principal amount of the Securityholders of any or all series may be embodied in and evidenced by one or more instruments of substantially similar tenor signed by such specified percentage of Securityholders in person or by agent duly appointed in writing; and, except as herein otherwise expressly provided, such action shall become effective when such instrument or instruments are delivered to the Trustee. Proof of execution of any instrument or of a writing appointing any such agent shall be sufficient for any purpose of this Indenture and (subject to Sections 6.01 and 6.02) conclusive in favor of the Trustee and the Issuer, if made in the manner provided in this Article.</w:t>
      </w:r>
    </w:p>
    <w:p>
      <w:pPr>
        <w:spacing w:after="0" w:line="156" w:lineRule="exact"/>
        <w:rPr>
          <w:sz w:val="20"/>
          <w:szCs w:val="20"/>
          <w:color w:val="auto"/>
        </w:rPr>
      </w:pPr>
    </w:p>
    <w:p>
      <w:pPr>
        <w:ind w:right="60" w:firstLine="595"/>
        <w:spacing w:after="0" w:line="283" w:lineRule="auto"/>
        <w:rPr>
          <w:sz w:val="20"/>
          <w:szCs w:val="20"/>
          <w:color w:val="auto"/>
        </w:rPr>
      </w:pPr>
      <w:r>
        <w:rPr>
          <w:rFonts w:ascii="Arial" w:cs="Arial" w:eastAsia="Arial" w:hAnsi="Arial"/>
          <w:sz w:val="15"/>
          <w:szCs w:val="15"/>
          <w:color w:val="auto"/>
        </w:rPr>
        <w:t xml:space="preserve">Section 7.02 </w:t>
      </w:r>
      <w:r>
        <w:rPr>
          <w:rFonts w:ascii="Arial" w:cs="Arial" w:eastAsia="Arial" w:hAnsi="Arial"/>
          <w:sz w:val="15"/>
          <w:szCs w:val="15"/>
          <w:i w:val="1"/>
          <w:iCs w:val="1"/>
          <w:color w:val="auto"/>
        </w:rPr>
        <w:t>Proof of Execution of Instruments and of Holding of Securities.</w:t>
      </w:r>
      <w:r>
        <w:rPr>
          <w:rFonts w:ascii="Arial" w:cs="Arial" w:eastAsia="Arial" w:hAnsi="Arial"/>
          <w:sz w:val="15"/>
          <w:szCs w:val="15"/>
          <w:color w:val="auto"/>
        </w:rPr>
        <w:t xml:space="preserve"> Subject to Sections 6.01 and 6.02, the execution of any instrument by a Holder or his agent or proxy may be proved in accordance with such reasonable rules and regulations as may be prescribed by the Trustee or in such manner as shall be satisfactory to the Trustee. The holding of Securities shall be proved by the Security register or by a certificate of the registrar thereof. The Issuer may set a record date for purposes of determining the identity of Holders of any series entitled to vote or consent to any action referred to in Section 7.01, which record date may be set at any time or from time to time by notice to the Trustee, for any date or dates (in the case of any adjournment or reconsideration) not more than 60 days nor less than five days prior to the proposed date of such vote or consent, and thereafter, notwithstanding any other provisions hereof, only Holders of such series of record on such record date shall be entitled to so vote or give such consent or revoke such vote or consent. Notice of such record date may be given before or after any request for any action referred to in Section 7.01 is made by the Issuer.</w:t>
      </w:r>
    </w:p>
    <w:p>
      <w:pPr>
        <w:spacing w:after="0" w:line="35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3">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82" w:name="page83"/>
    <w:bookmarkEnd w:id="82"/>
    <w:p>
      <w:pPr>
        <w:ind w:firstLine="595"/>
        <w:spacing w:after="0" w:line="286" w:lineRule="auto"/>
        <w:rPr>
          <w:sz w:val="20"/>
          <w:szCs w:val="20"/>
          <w:color w:val="auto"/>
        </w:rPr>
      </w:pPr>
      <w:r>
        <w:rPr>
          <w:rFonts w:ascii="Arial" w:cs="Arial" w:eastAsia="Arial" w:hAnsi="Arial"/>
          <w:sz w:val="15"/>
          <w:szCs w:val="15"/>
          <w:color w:val="auto"/>
        </w:rPr>
        <w:t xml:space="preserve">Section 7.03 </w:t>
      </w:r>
      <w:r>
        <w:rPr>
          <w:rFonts w:ascii="Arial" w:cs="Arial" w:eastAsia="Arial" w:hAnsi="Arial"/>
          <w:sz w:val="15"/>
          <w:szCs w:val="15"/>
          <w:i w:val="1"/>
          <w:iCs w:val="1"/>
          <w:color w:val="auto"/>
        </w:rPr>
        <w:t>Holders to Be Treated as Owners.</w:t>
      </w:r>
      <w:r>
        <w:rPr>
          <w:rFonts w:ascii="Arial" w:cs="Arial" w:eastAsia="Arial" w:hAnsi="Arial"/>
          <w:sz w:val="15"/>
          <w:szCs w:val="15"/>
          <w:color w:val="auto"/>
        </w:rPr>
        <w:t xml:space="preserve"> The Issuer, the Trustee and any agent of the Issuer or of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Issuer nor the Trustee nor any agent of the Issuer or the Trustee shall be affected by any notice to the contrary. All such payments so made to any such Person, or upon his or her order, shall be valid, and, to the extent of the sum or sums so paid, effectual to satisfy and discharge the liability for moneys payable.</w:t>
      </w:r>
    </w:p>
    <w:p>
      <w:pPr>
        <w:spacing w:after="0" w:line="156" w:lineRule="exact"/>
        <w:rPr>
          <w:sz w:val="20"/>
          <w:szCs w:val="20"/>
          <w:color w:val="auto"/>
        </w:rPr>
      </w:pPr>
    </w:p>
    <w:p>
      <w:pPr>
        <w:ind w:firstLine="595"/>
        <w:spacing w:after="0" w:line="281" w:lineRule="auto"/>
        <w:rPr>
          <w:sz w:val="20"/>
          <w:szCs w:val="20"/>
          <w:color w:val="auto"/>
        </w:rPr>
      </w:pPr>
      <w:r>
        <w:rPr>
          <w:rFonts w:ascii="Arial" w:cs="Arial" w:eastAsia="Arial" w:hAnsi="Arial"/>
          <w:sz w:val="15"/>
          <w:szCs w:val="15"/>
          <w:color w:val="auto"/>
        </w:rPr>
        <w:t xml:space="preserve">Section 7.04 </w:t>
      </w:r>
      <w:r>
        <w:rPr>
          <w:rFonts w:ascii="Arial" w:cs="Arial" w:eastAsia="Arial" w:hAnsi="Arial"/>
          <w:sz w:val="15"/>
          <w:szCs w:val="15"/>
          <w:i w:val="1"/>
          <w:iCs w:val="1"/>
          <w:color w:val="auto"/>
        </w:rPr>
        <w:t>Securities Owned by Issuer Deemed Not Outstanding.</w:t>
      </w:r>
      <w:r>
        <w:rPr>
          <w:rFonts w:ascii="Arial" w:cs="Arial" w:eastAsia="Arial" w:hAnsi="Arial"/>
          <w:sz w:val="15"/>
          <w:szCs w:val="15"/>
          <w:color w:val="auto"/>
        </w:rPr>
        <w:t xml:space="preserve"> In determining whether the Holders of the requisite aggregate principal amount of Outstanding Securities of any or all series have concurred in any direction, consent or waiver under this Indenture, Securities that are owned by the Issuer or any other obligor on the Securities with respect to which such determination is being made or by any Person directly or indirectly controlling or controlled by or under direct or indirect common control with the Issuer or any other obligor on the Securities with respect to which such determination is being made shall be disregarded and deemed not to be Outstanding for the purpose of any such determination, except that, for the purpose of determining whether the Trustee shall be protected in relying on any such direction, consent or waiver, only Securities which the Trustee knows are so owned shall be so disregarded. Securities so owned which have been pledged in good faith may be regarded as Outstanding if the pledgee establishes to the satisfaction of the Trustee the pledgee’s right so to act with respect to such Securities and that the pledgee is not the Issuer or any other obligor upon the Securities or any Person directly or indirectly controlling or controlled by or under direct or indirect common control with the Issuer or any other obligor on the Securities. In case of a dispute as to such right, the advice of counsel shall be full protection in respect of any decision made by the Trustee in accordance with such advice.</w:t>
      </w:r>
    </w:p>
    <w:p>
      <w:pPr>
        <w:spacing w:after="0" w:line="163" w:lineRule="exact"/>
        <w:rPr>
          <w:sz w:val="20"/>
          <w:szCs w:val="20"/>
          <w:color w:val="auto"/>
        </w:rPr>
      </w:pPr>
    </w:p>
    <w:p>
      <w:pPr>
        <w:ind w:firstLine="595"/>
        <w:spacing w:after="0" w:line="282" w:lineRule="auto"/>
        <w:rPr>
          <w:sz w:val="20"/>
          <w:szCs w:val="20"/>
          <w:color w:val="auto"/>
        </w:rPr>
      </w:pPr>
      <w:r>
        <w:rPr>
          <w:rFonts w:ascii="Arial" w:cs="Arial" w:eastAsia="Arial" w:hAnsi="Arial"/>
          <w:sz w:val="15"/>
          <w:szCs w:val="15"/>
          <w:color w:val="auto"/>
        </w:rPr>
        <w:t xml:space="preserve">Section 7.05 </w:t>
      </w:r>
      <w:r>
        <w:rPr>
          <w:rFonts w:ascii="Arial" w:cs="Arial" w:eastAsia="Arial" w:hAnsi="Arial"/>
          <w:sz w:val="15"/>
          <w:szCs w:val="15"/>
          <w:i w:val="1"/>
          <w:iCs w:val="1"/>
          <w:color w:val="auto"/>
        </w:rPr>
        <w:t>Right of Revocation of Action Taken.</w:t>
      </w:r>
      <w:r>
        <w:rPr>
          <w:rFonts w:ascii="Arial" w:cs="Arial" w:eastAsia="Arial" w:hAnsi="Arial"/>
          <w:sz w:val="15"/>
          <w:szCs w:val="15"/>
          <w:color w:val="auto"/>
        </w:rPr>
        <w:t xml:space="preserve"> At any time prior to (but not after) the evidencing to the Trustee, as provided in Section 7.01, of the taking of any action by the Holders of the percentage in aggregate principal amount of the Securities of any or all series, as the case may be, specified in this Indenture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Article,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or on registration of transfer thereof, irrespective of whether or not any notation in regard thereto is made upon any such Security. Any action taken by the Holders of the percentage in aggregate principal amount of the Securities of any or all series, as the case may be, specified in this Indenture in connection with such action shall be conclusively binding upon the Issuer, the Trustee and the Holders of all the Securities affected by such action.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4">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00"/>
          </w:cols>
          <w:pgMar w:left="320" w:top="846" w:right="379" w:bottom="1440" w:gutter="0" w:footer="0" w:header="0"/>
        </w:sectPr>
      </w:pPr>
    </w:p>
    <w:bookmarkStart w:id="83" w:name="page84"/>
    <w:bookmarkEnd w:id="83"/>
    <w:p>
      <w:pPr>
        <w:jc w:val="center"/>
        <w:ind w:right="-39"/>
        <w:spacing w:after="0"/>
        <w:rPr>
          <w:sz w:val="20"/>
          <w:szCs w:val="20"/>
          <w:color w:val="auto"/>
        </w:rPr>
      </w:pPr>
      <w:r>
        <w:rPr>
          <w:rFonts w:ascii="Arial" w:cs="Arial" w:eastAsia="Arial" w:hAnsi="Arial"/>
          <w:sz w:val="17"/>
          <w:szCs w:val="17"/>
          <w:color w:val="auto"/>
        </w:rPr>
        <w:t>ARTICLE 8</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SUPPLEMENTAL INDENTURES</w:t>
      </w:r>
    </w:p>
    <w:p>
      <w:pPr>
        <w:spacing w:after="0" w:line="191" w:lineRule="exact"/>
        <w:rPr>
          <w:sz w:val="20"/>
          <w:szCs w:val="20"/>
          <w:color w:val="auto"/>
        </w:rPr>
      </w:pPr>
    </w:p>
    <w:p>
      <w:pPr>
        <w:ind w:right="220" w:firstLine="595"/>
        <w:spacing w:after="0" w:line="252" w:lineRule="auto"/>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i w:val="1"/>
          <w:iCs w:val="1"/>
          <w:color w:val="auto"/>
        </w:rPr>
        <w:t>Supplemental Indentures Without Consent of Securityholders.</w:t>
      </w:r>
      <w:r>
        <w:rPr>
          <w:rFonts w:ascii="Arial" w:cs="Arial" w:eastAsia="Arial" w:hAnsi="Arial"/>
          <w:sz w:val="17"/>
          <w:szCs w:val="17"/>
          <w:color w:val="auto"/>
        </w:rPr>
        <w:t xml:space="preserve"> The Issuer, when authorized by a resolution of its Board of Directors, and the Trustee may from time to time and at any time, without the consent of any of the Securityholders, enter into an indenture or indentures supplemental hereto in form satisfactory to the Trustee for one or more of the following purposes:</w:t>
      </w:r>
    </w:p>
    <w:p>
      <w:pPr>
        <w:spacing w:after="0" w:line="178" w:lineRule="exact"/>
        <w:rPr>
          <w:sz w:val="20"/>
          <w:szCs w:val="20"/>
          <w:color w:val="auto"/>
        </w:rPr>
      </w:pPr>
    </w:p>
    <w:p>
      <w:pPr>
        <w:ind w:left="1780" w:hanging="590"/>
        <w:spacing w:after="0"/>
        <w:tabs>
          <w:tab w:leader="none" w:pos="17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to convey, transfer, assign, mortgage or pledge to the Trustee as security for the Securities of one or more series any property or assets;</w:t>
      </w:r>
    </w:p>
    <w:p>
      <w:pPr>
        <w:spacing w:after="0" w:line="224" w:lineRule="exact"/>
        <w:rPr>
          <w:rFonts w:ascii="Arial" w:cs="Arial" w:eastAsia="Arial" w:hAnsi="Arial"/>
          <w:sz w:val="15"/>
          <w:szCs w:val="15"/>
          <w:color w:val="auto"/>
        </w:rPr>
      </w:pPr>
    </w:p>
    <w:p>
      <w:pPr>
        <w:ind w:left="1780" w:right="100" w:hanging="590"/>
        <w:spacing w:after="0" w:line="260" w:lineRule="auto"/>
        <w:tabs>
          <w:tab w:leader="none" w:pos="17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to evidence the succession of another Person to the Issuer, or successive successions, and the assumption by such successor of the covenants, agreements and obligations of the Issuer pursuant to, or to otherwise comply with, Article 9;</w:t>
      </w:r>
    </w:p>
    <w:p>
      <w:pPr>
        <w:spacing w:after="0" w:line="171" w:lineRule="exact"/>
        <w:rPr>
          <w:rFonts w:ascii="Arial" w:cs="Arial" w:eastAsia="Arial" w:hAnsi="Arial"/>
          <w:sz w:val="17"/>
          <w:szCs w:val="17"/>
          <w:color w:val="auto"/>
        </w:rPr>
      </w:pPr>
    </w:p>
    <w:p>
      <w:pPr>
        <w:ind w:left="1780" w:right="40" w:hanging="590"/>
        <w:spacing w:after="0" w:line="260" w:lineRule="auto"/>
        <w:tabs>
          <w:tab w:leader="none" w:pos="17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to comply with the requirements of the Commission in order to effect or maintain the qualification of this Indenture under the Trust Indenture Act of 1939, as amended;</w:t>
      </w:r>
    </w:p>
    <w:p>
      <w:pPr>
        <w:spacing w:after="0" w:line="171" w:lineRule="exact"/>
        <w:rPr>
          <w:rFonts w:ascii="Arial" w:cs="Arial" w:eastAsia="Arial" w:hAnsi="Arial"/>
          <w:sz w:val="17"/>
          <w:szCs w:val="17"/>
          <w:color w:val="auto"/>
        </w:rPr>
      </w:pPr>
    </w:p>
    <w:p>
      <w:pPr>
        <w:ind w:left="1780" w:hanging="590"/>
        <w:spacing w:after="0" w:line="283" w:lineRule="auto"/>
        <w:tabs>
          <w:tab w:leader="none" w:pos="17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 xml:space="preserve">to add to the covenants of the Issuer such further covenants, restrictions, conditions or provisions as its Board of Directors and the Trustee shall consider to be for the protection of the Holders of Securities, and to make the occurrence, or the occurrence and continuance, of a default in any such additional covenants, restrictions, conditions or provisions an Event of Default permitting the enforcement of all or any of the several remedies provided in this Indenture as herein set forth; </w:t>
      </w:r>
      <w:r>
        <w:rPr>
          <w:rFonts w:ascii="Arial" w:cs="Arial" w:eastAsia="Arial" w:hAnsi="Arial"/>
          <w:sz w:val="15"/>
          <w:szCs w:val="15"/>
          <w:i w:val="1"/>
          <w:iCs w:val="1"/>
          <w:color w:val="auto"/>
        </w:rPr>
        <w:t>provided</w:t>
      </w:r>
      <w:r>
        <w:rPr>
          <w:rFonts w:ascii="Arial" w:cs="Arial" w:eastAsia="Arial" w:hAnsi="Arial"/>
          <w:sz w:val="15"/>
          <w:szCs w:val="15"/>
          <w:color w:val="auto"/>
        </w:rPr>
        <w:t>,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Securities of such series to waive such an Event of Default;</w:t>
      </w:r>
    </w:p>
    <w:p>
      <w:pPr>
        <w:spacing w:after="0" w:line="158" w:lineRule="exact"/>
        <w:rPr>
          <w:rFonts w:ascii="Arial" w:cs="Arial" w:eastAsia="Arial" w:hAnsi="Arial"/>
          <w:sz w:val="15"/>
          <w:szCs w:val="15"/>
          <w:color w:val="auto"/>
        </w:rPr>
      </w:pPr>
    </w:p>
    <w:p>
      <w:pPr>
        <w:ind w:left="1780" w:right="80" w:hanging="590"/>
        <w:spacing w:after="0" w:line="327" w:lineRule="auto"/>
        <w:tabs>
          <w:tab w:leader="none" w:pos="17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to cure any ambiguity, defect or inconsistency, or to conform this Indenture or any supplemental indenture to the description of the Securities set forth in any prospectus, prospectus supplement or offering memorandum related to such series of Securities;</w:t>
      </w:r>
    </w:p>
    <w:p>
      <w:pPr>
        <w:spacing w:after="0" w:line="125" w:lineRule="exact"/>
        <w:rPr>
          <w:rFonts w:ascii="Arial" w:cs="Arial" w:eastAsia="Arial" w:hAnsi="Arial"/>
          <w:sz w:val="15"/>
          <w:szCs w:val="15"/>
          <w:color w:val="auto"/>
        </w:rPr>
      </w:pPr>
    </w:p>
    <w:p>
      <w:pPr>
        <w:ind w:left="1780" w:hanging="590"/>
        <w:spacing w:after="0"/>
        <w:tabs>
          <w:tab w:leader="none" w:pos="17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to provide for or add guarantors for the Securities of one or more series;</w:t>
      </w:r>
    </w:p>
    <w:p>
      <w:pPr>
        <w:spacing w:after="0" w:line="201" w:lineRule="exact"/>
        <w:rPr>
          <w:rFonts w:ascii="Arial" w:cs="Arial" w:eastAsia="Arial" w:hAnsi="Arial"/>
          <w:sz w:val="17"/>
          <w:szCs w:val="17"/>
          <w:color w:val="auto"/>
        </w:rPr>
      </w:pPr>
    </w:p>
    <w:p>
      <w:pPr>
        <w:ind w:left="1780" w:hanging="590"/>
        <w:spacing w:after="0"/>
        <w:tabs>
          <w:tab w:leader="none" w:pos="17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to establish the form or terms of Securities of any series as permitted by Sections 2.01 and 2.03;</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5">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00"/>
          </w:cols>
          <w:pgMar w:left="320" w:top="846" w:right="379" w:bottom="1440" w:gutter="0" w:footer="0" w:header="0"/>
        </w:sectPr>
      </w:pPr>
    </w:p>
    <w:bookmarkStart w:id="84" w:name="page85"/>
    <w:bookmarkEnd w:id="84"/>
    <w:p>
      <w:pPr>
        <w:ind w:left="1780" w:right="20" w:hanging="590"/>
        <w:spacing w:after="0" w:line="252" w:lineRule="auto"/>
        <w:tabs>
          <w:tab w:leader="none" w:pos="17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w:t>
      </w:r>
    </w:p>
    <w:p>
      <w:pPr>
        <w:spacing w:after="0" w:line="178" w:lineRule="exact"/>
        <w:rPr>
          <w:rFonts w:ascii="Arial" w:cs="Arial" w:eastAsia="Arial" w:hAnsi="Arial"/>
          <w:sz w:val="17"/>
          <w:szCs w:val="17"/>
          <w:color w:val="auto"/>
        </w:rPr>
      </w:pPr>
    </w:p>
    <w:p>
      <w:pPr>
        <w:ind w:left="1780" w:right="340" w:hanging="590"/>
        <w:spacing w:after="0" w:line="293" w:lineRule="auto"/>
        <w:tabs>
          <w:tab w:leader="none" w:pos="1780" w:val="left"/>
        </w:tabs>
        <w:numPr>
          <w:ilvl w:val="0"/>
          <w:numId w:val="66"/>
        </w:numPr>
        <w:rPr>
          <w:rFonts w:ascii="Arial" w:cs="Arial" w:eastAsia="Arial" w:hAnsi="Arial"/>
          <w:sz w:val="15"/>
          <w:szCs w:val="15"/>
          <w:color w:val="auto"/>
        </w:rPr>
      </w:pPr>
      <w:r>
        <w:rPr>
          <w:rFonts w:ascii="Arial" w:cs="Arial" w:eastAsia="Arial" w:hAnsi="Arial"/>
          <w:sz w:val="15"/>
          <w:szCs w:val="15"/>
          <w:color w:val="auto"/>
        </w:rPr>
        <w:t>to add to, change or eliminate any of the provisions of this Indenture in respect of one or more series of Securities; provided that any such addition, change or elimination shall (A) not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Security described in clause (A)(i) Outstanding;</w:t>
      </w:r>
    </w:p>
    <w:p>
      <w:pPr>
        <w:spacing w:after="0" w:line="149" w:lineRule="exact"/>
        <w:rPr>
          <w:rFonts w:ascii="Arial" w:cs="Arial" w:eastAsia="Arial" w:hAnsi="Arial"/>
          <w:sz w:val="15"/>
          <w:szCs w:val="15"/>
          <w:color w:val="auto"/>
        </w:rPr>
      </w:pPr>
    </w:p>
    <w:p>
      <w:pPr>
        <w:ind w:left="1780" w:hanging="590"/>
        <w:spacing w:after="0"/>
        <w:tabs>
          <w:tab w:leader="none" w:pos="17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to make any change to the Securities of any series so long as no Securities of such series are Outstanding; and</w:t>
      </w:r>
    </w:p>
    <w:p>
      <w:pPr>
        <w:spacing w:after="0" w:line="201" w:lineRule="exact"/>
        <w:rPr>
          <w:rFonts w:ascii="Arial" w:cs="Arial" w:eastAsia="Arial" w:hAnsi="Arial"/>
          <w:sz w:val="17"/>
          <w:szCs w:val="17"/>
          <w:color w:val="auto"/>
        </w:rPr>
      </w:pPr>
    </w:p>
    <w:p>
      <w:pPr>
        <w:ind w:left="1780" w:hanging="590"/>
        <w:spacing w:after="0"/>
        <w:tabs>
          <w:tab w:leader="none" w:pos="17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to make any other change that does not adversely affect the interests of the Holders of the Securities in any material respect.</w:t>
      </w:r>
    </w:p>
    <w:p>
      <w:pPr>
        <w:spacing w:after="0" w:line="201" w:lineRule="exact"/>
        <w:rPr>
          <w:sz w:val="20"/>
          <w:szCs w:val="20"/>
          <w:color w:val="auto"/>
        </w:rPr>
      </w:pPr>
    </w:p>
    <w:p>
      <w:pPr>
        <w:ind w:right="200" w:firstLine="595"/>
        <w:spacing w:after="0" w:line="301" w:lineRule="auto"/>
        <w:rPr>
          <w:sz w:val="20"/>
          <w:szCs w:val="20"/>
          <w:color w:val="auto"/>
        </w:rPr>
      </w:pPr>
      <w:r>
        <w:rPr>
          <w:rFonts w:ascii="Arial" w:cs="Arial" w:eastAsia="Arial" w:hAnsi="Arial"/>
          <w:sz w:val="15"/>
          <w:szCs w:val="15"/>
          <w:color w:val="auto"/>
        </w:rPr>
        <w:t>The Trustee shall join with the Issuer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affects the Trustee’s own rights, duties or immunities under this Indenture or otherwise.</w:t>
      </w:r>
    </w:p>
    <w:p>
      <w:pPr>
        <w:spacing w:after="0" w:line="145" w:lineRule="exact"/>
        <w:rPr>
          <w:sz w:val="20"/>
          <w:szCs w:val="20"/>
          <w:color w:val="auto"/>
        </w:rPr>
      </w:pPr>
    </w:p>
    <w:p>
      <w:pPr>
        <w:ind w:right="60" w:firstLine="595"/>
        <w:spacing w:after="0" w:line="260" w:lineRule="auto"/>
        <w:rPr>
          <w:sz w:val="20"/>
          <w:szCs w:val="20"/>
          <w:color w:val="auto"/>
        </w:rPr>
      </w:pPr>
      <w:r>
        <w:rPr>
          <w:rFonts w:ascii="Arial" w:cs="Arial" w:eastAsia="Arial" w:hAnsi="Arial"/>
          <w:sz w:val="17"/>
          <w:szCs w:val="17"/>
          <w:color w:val="auto"/>
        </w:rPr>
        <w:t>Any supplemental indenture authorized by the provisions of this Section may be executed without the consent of the Holders of any of the Securities at the time Outstanding, notwithstanding any of the provisions of Section 8.02.</w:t>
      </w:r>
    </w:p>
    <w:p>
      <w:pPr>
        <w:spacing w:after="0" w:line="172" w:lineRule="exact"/>
        <w:rPr>
          <w:sz w:val="20"/>
          <w:szCs w:val="20"/>
          <w:color w:val="auto"/>
        </w:rPr>
      </w:pPr>
    </w:p>
    <w:p>
      <w:pPr>
        <w:ind w:firstLine="595"/>
        <w:spacing w:after="0" w:line="279" w:lineRule="auto"/>
        <w:rPr>
          <w:sz w:val="20"/>
          <w:szCs w:val="20"/>
          <w:color w:val="auto"/>
        </w:rPr>
      </w:pPr>
      <w:r>
        <w:rPr>
          <w:rFonts w:ascii="Arial" w:cs="Arial" w:eastAsia="Arial" w:hAnsi="Arial"/>
          <w:sz w:val="15"/>
          <w:szCs w:val="15"/>
          <w:color w:val="auto"/>
        </w:rPr>
        <w:t xml:space="preserve">Section 8.02 </w:t>
      </w:r>
      <w:r>
        <w:rPr>
          <w:rFonts w:ascii="Arial" w:cs="Arial" w:eastAsia="Arial" w:hAnsi="Arial"/>
          <w:sz w:val="15"/>
          <w:szCs w:val="15"/>
          <w:i w:val="1"/>
          <w:iCs w:val="1"/>
          <w:color w:val="auto"/>
        </w:rPr>
        <w:t>Supplemental Indentures With Consent of Securityholders.</w:t>
      </w:r>
      <w:r>
        <w:rPr>
          <w:rFonts w:ascii="Arial" w:cs="Arial" w:eastAsia="Arial" w:hAnsi="Arial"/>
          <w:sz w:val="15"/>
          <w:szCs w:val="15"/>
          <w:color w:val="auto"/>
        </w:rPr>
        <w:t xml:space="preserve"> With the consent (evidenced as provided in Article 7) of the Holders of not less than a majority in aggregate principal amount of the Securities at the time Outstanding of one or more series affected by such supplemental indenture (voting as separate series), the Issuer, when authorized by a resolution of the Board of Directors,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each such consenting series; </w:t>
      </w:r>
      <w:r>
        <w:rPr>
          <w:rFonts w:ascii="Arial" w:cs="Arial" w:eastAsia="Arial" w:hAnsi="Arial"/>
          <w:sz w:val="15"/>
          <w:szCs w:val="15"/>
          <w:i w:val="1"/>
          <w:iCs w:val="1"/>
          <w:color w:val="auto"/>
        </w:rPr>
        <w:t>provided</w:t>
      </w:r>
      <w:r>
        <w:rPr>
          <w:rFonts w:ascii="Arial" w:cs="Arial" w:eastAsia="Arial" w:hAnsi="Arial"/>
          <w:sz w:val="15"/>
          <w:szCs w:val="15"/>
          <w:color w:val="auto"/>
        </w:rPr>
        <w:t>, that no such supplemental indenture shall, without the consent of the Holder of each Security so affected, (a) extend the final maturity of any Security, or reduce the principal amount thereof, or reduce the rate or extend the time of payment of interest thereon, or reduce any amount payable on redemption thereof, or make the principal thereof (including any amount in respect of original issue discount) or interest thereon payable in any currency other than that provided in the Securities or in accordance with the terms thereof, or reduce the amount of the principal of an Original Issue Discount Security that would be due and payable upon an acceleration of the maturity thereof pursuant to Section 5.01 or the amount thereof provable in bankruptcy pursuant to Section 5.02, or (b) waive a continuing default in the payment of principal of any Security or interest thereon, other than any such default in payment that resulted solely from such acceleration, or change a provision related to the waiver of past defaults or impair the right of any Securityholder to institute suit for the enforcement of any such payment on or after the Stated Maturity or the date of redemption or conversion of any Security or, if the Securities provide therefor, any right of repayment at the option of the Securityholder, or (c) modify any of the provisions of this section except to increase any required percentage or to provide that certain other provisions cannot be modified or waived without the consent of the Holder of each Security so affected, or (d) make any change that adversely affects the right to convert or exchange any Security into or for Common Stock or other securities, cash or other property in accordance with the terms of such Security or (e) reduce the aforesaid percentage of Securities of any series, the consent of the Holders of which is required for any such supplemental indenture or the consent of Holders of which is required for any modification, amendment or waiver of compliance with certain provisions of this Indenture or certain defaults hereunder and their consequences provided for in this Indenture.</w:t>
      </w:r>
    </w:p>
    <w:p>
      <w:pPr>
        <w:spacing w:after="0" w:line="36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6">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85" w:name="page86"/>
    <w:bookmarkEnd w:id="85"/>
    <w:p>
      <w:pPr>
        <w:jc w:val="both"/>
        <w:ind w:right="100" w:firstLine="595"/>
        <w:spacing w:after="0" w:line="293" w:lineRule="auto"/>
        <w:rPr>
          <w:sz w:val="20"/>
          <w:szCs w:val="20"/>
          <w:color w:val="auto"/>
        </w:rPr>
      </w:pPr>
      <w:r>
        <w:rPr>
          <w:rFonts w:ascii="Arial" w:cs="Arial" w:eastAsia="Arial" w:hAnsi="Arial"/>
          <w:sz w:val="15"/>
          <w:szCs w:val="15"/>
          <w:color w:val="auto"/>
        </w:rPr>
        <w:t>A supplemental indenture which changes or eliminates any covenant, Event of Default or other provision of this Indenture (1) that has been expressly included solely for the benefit of one or more particular series of Securities, if any, or (2) which modifies the rights of Holders of Securities of one or more series with respect to any covenant, Event of Default or provision, shall be deemed not to affect the rights under this Indenture of the Holders of Securities of any other series with respect to which such covenant, Event of Default or other provision has not been included or so modified.</w:t>
      </w:r>
    </w:p>
    <w:p>
      <w:pPr>
        <w:spacing w:after="0" w:line="150" w:lineRule="exact"/>
        <w:rPr>
          <w:sz w:val="20"/>
          <w:szCs w:val="20"/>
          <w:color w:val="auto"/>
        </w:rPr>
      </w:pPr>
    </w:p>
    <w:p>
      <w:pPr>
        <w:ind w:right="60" w:firstLine="595"/>
        <w:spacing w:after="0" w:line="293" w:lineRule="auto"/>
        <w:rPr>
          <w:sz w:val="20"/>
          <w:szCs w:val="20"/>
          <w:color w:val="auto"/>
        </w:rPr>
      </w:pPr>
      <w:r>
        <w:rPr>
          <w:rFonts w:ascii="Arial" w:cs="Arial" w:eastAsia="Arial" w:hAnsi="Arial"/>
          <w:sz w:val="15"/>
          <w:szCs w:val="15"/>
          <w:color w:val="auto"/>
        </w:rPr>
        <w:t>Upon the request of the Issuer, accompanied by a Board Resolution authorizing the execution of any such supplemental indenture, and upon the filing with the Trustee of evidence of the consent of Securityholders as aforesaid and other documents, if any, required by Section 7.01, the Trustee shall join with the Issuer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50" w:lineRule="exact"/>
        <w:rPr>
          <w:sz w:val="20"/>
          <w:szCs w:val="20"/>
          <w:color w:val="auto"/>
        </w:rPr>
      </w:pPr>
    </w:p>
    <w:p>
      <w:pPr>
        <w:ind w:right="120" w:firstLine="595"/>
        <w:spacing w:after="0" w:line="260" w:lineRule="auto"/>
        <w:rPr>
          <w:sz w:val="20"/>
          <w:szCs w:val="20"/>
          <w:color w:val="auto"/>
        </w:rPr>
      </w:pPr>
      <w:r>
        <w:rPr>
          <w:rFonts w:ascii="Arial" w:cs="Arial" w:eastAsia="Arial" w:hAnsi="Arial"/>
          <w:sz w:val="17"/>
          <w:szCs w:val="17"/>
          <w:color w:val="auto"/>
        </w:rPr>
        <w:t>It shall not be necessary for the consent of the Securityholders under this Section to approve the particular form of any proposed supplemental indenture, but it shall be sufficient if such consent shall approve the substance thereof.</w:t>
      </w:r>
    </w:p>
    <w:p>
      <w:pPr>
        <w:spacing w:after="0" w:line="172" w:lineRule="exact"/>
        <w:rPr>
          <w:sz w:val="20"/>
          <w:szCs w:val="20"/>
          <w:color w:val="auto"/>
        </w:rPr>
      </w:pPr>
    </w:p>
    <w:p>
      <w:pPr>
        <w:ind w:firstLine="595"/>
        <w:spacing w:after="0" w:line="249" w:lineRule="auto"/>
        <w:rPr>
          <w:sz w:val="20"/>
          <w:szCs w:val="20"/>
          <w:color w:val="auto"/>
        </w:rPr>
      </w:pPr>
      <w:r>
        <w:rPr>
          <w:rFonts w:ascii="Arial" w:cs="Arial" w:eastAsia="Arial" w:hAnsi="Arial"/>
          <w:sz w:val="17"/>
          <w:szCs w:val="17"/>
          <w:color w:val="auto"/>
        </w:rPr>
        <w:t>Promptly after the execution by the Issuer and the Trustee of any supplemental indenture pursuant to the provisions of this Section, the Trustee shall give a notice thereof to the Holders of then Outstanding Securities of each series affected thereby, by delivering a notice thereof, and in each case such notice shall set forth in general terms the substance of such supplemental indenture. Any failure of the Trustee to deliver such notice, or any defect therein, shall not, however, in any way impair or affect the validity of any such supplemental indenture.</w:t>
      </w:r>
    </w:p>
    <w:p>
      <w:pPr>
        <w:spacing w:after="0" w:line="181" w:lineRule="exact"/>
        <w:rPr>
          <w:sz w:val="20"/>
          <w:szCs w:val="20"/>
          <w:color w:val="auto"/>
        </w:rPr>
      </w:pPr>
    </w:p>
    <w:p>
      <w:pPr>
        <w:ind w:firstLine="595"/>
        <w:spacing w:after="0" w:line="247" w:lineRule="auto"/>
        <w:rPr>
          <w:sz w:val="20"/>
          <w:szCs w:val="20"/>
          <w:color w:val="auto"/>
        </w:rPr>
      </w:pPr>
      <w:r>
        <w:rPr>
          <w:rFonts w:ascii="Arial" w:cs="Arial" w:eastAsia="Arial" w:hAnsi="Arial"/>
          <w:sz w:val="17"/>
          <w:szCs w:val="17"/>
          <w:color w:val="auto"/>
        </w:rPr>
        <w:t xml:space="preserve">Section 8.03 </w:t>
      </w:r>
      <w:r>
        <w:rPr>
          <w:rFonts w:ascii="Arial" w:cs="Arial" w:eastAsia="Arial" w:hAnsi="Arial"/>
          <w:sz w:val="17"/>
          <w:szCs w:val="17"/>
          <w:i w:val="1"/>
          <w:iCs w:val="1"/>
          <w:color w:val="auto"/>
        </w:rPr>
        <w:t>Effect of Supplemental Indenture.</w:t>
      </w:r>
      <w:r>
        <w:rPr>
          <w:rFonts w:ascii="Arial" w:cs="Arial" w:eastAsia="Arial" w:hAnsi="Arial"/>
          <w:sz w:val="17"/>
          <w:szCs w:val="17"/>
          <w:color w:val="auto"/>
        </w:rPr>
        <w:t xml:space="preserve"> 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Issuer and the Holders of Securities of each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7">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00"/>
          </w:cols>
          <w:pgMar w:left="320" w:top="846" w:right="379" w:bottom="1440" w:gutter="0" w:footer="0" w:header="0"/>
        </w:sectPr>
      </w:pPr>
    </w:p>
    <w:bookmarkStart w:id="86" w:name="page87"/>
    <w:bookmarkEnd w:id="86"/>
    <w:p>
      <w:pPr>
        <w:ind w:firstLine="595"/>
        <w:spacing w:after="0" w:line="327" w:lineRule="auto"/>
        <w:rPr>
          <w:sz w:val="20"/>
          <w:szCs w:val="20"/>
          <w:color w:val="auto"/>
        </w:rPr>
      </w:pPr>
      <w:r>
        <w:rPr>
          <w:rFonts w:ascii="Arial" w:cs="Arial" w:eastAsia="Arial" w:hAnsi="Arial"/>
          <w:sz w:val="15"/>
          <w:szCs w:val="15"/>
          <w:color w:val="auto"/>
        </w:rPr>
        <w:t xml:space="preserve">Section 8.04 </w:t>
      </w:r>
      <w:r>
        <w:rPr>
          <w:rFonts w:ascii="Arial" w:cs="Arial" w:eastAsia="Arial" w:hAnsi="Arial"/>
          <w:sz w:val="15"/>
          <w:szCs w:val="15"/>
          <w:i w:val="1"/>
          <w:iCs w:val="1"/>
          <w:color w:val="auto"/>
        </w:rPr>
        <w:t>Documents to Be Given to Trustee.</w:t>
      </w:r>
      <w:r>
        <w:rPr>
          <w:rFonts w:ascii="Arial" w:cs="Arial" w:eastAsia="Arial" w:hAnsi="Arial"/>
          <w:sz w:val="15"/>
          <w:szCs w:val="15"/>
          <w:color w:val="auto"/>
        </w:rPr>
        <w:t xml:space="preserve"> The Trustee, subject to the provisions of Sections 6.01 and 6.02, may receive an Officer’s Certificate and an Opinion of Counsel as conclusive evidence that any supplemental indenture executed pursuant to this Article 8 complies with the applicable provisions of this Indenture.</w:t>
      </w:r>
    </w:p>
    <w:p>
      <w:pPr>
        <w:spacing w:after="0" w:line="125" w:lineRule="exact"/>
        <w:rPr>
          <w:sz w:val="20"/>
          <w:szCs w:val="20"/>
          <w:color w:val="auto"/>
        </w:rPr>
      </w:pPr>
    </w:p>
    <w:p>
      <w:pPr>
        <w:ind w:firstLine="595"/>
        <w:spacing w:after="0" w:line="288" w:lineRule="auto"/>
        <w:rPr>
          <w:sz w:val="20"/>
          <w:szCs w:val="20"/>
          <w:color w:val="auto"/>
        </w:rPr>
      </w:pPr>
      <w:r>
        <w:rPr>
          <w:rFonts w:ascii="Arial" w:cs="Arial" w:eastAsia="Arial" w:hAnsi="Arial"/>
          <w:sz w:val="15"/>
          <w:szCs w:val="15"/>
          <w:color w:val="auto"/>
        </w:rPr>
        <w:t xml:space="preserve">Section 8.05 </w:t>
      </w:r>
      <w:r>
        <w:rPr>
          <w:rFonts w:ascii="Arial" w:cs="Arial" w:eastAsia="Arial" w:hAnsi="Arial"/>
          <w:sz w:val="15"/>
          <w:szCs w:val="15"/>
          <w:i w:val="1"/>
          <w:iCs w:val="1"/>
          <w:color w:val="auto"/>
        </w:rPr>
        <w:t>Notation on Securities in Respect of Supplemental Indentures.</w:t>
      </w:r>
      <w:r>
        <w:rPr>
          <w:rFonts w:ascii="Arial" w:cs="Arial" w:eastAsia="Arial" w:hAnsi="Arial"/>
          <w:sz w:val="15"/>
          <w:szCs w:val="15"/>
          <w:color w:val="auto"/>
        </w:rPr>
        <w:t xml:space="preserve"> Securities of any series authenticated and delivered after the execution of any supplemental indenture pursuant to the provisions of this Article may bear a notation in form approved by the Trustee for such series as to any matter provided for by such supplemental indenture or as to any action taken by Securityholders. If the Issuer or the Trustee shall so determine, new Securities of any series so modified as to conform, in the opinion of the Trustee and the Board of Directors, to any modification of this Indenture contained in any such supplemental indenture may be prepared by the Issuer, authenticated by the Trustee and delivered in exchange for the Securities of such series then Outstanding.</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9</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CONSOLIDATION, MERGER, SALE OR CONVEYANCE</w:t>
      </w:r>
    </w:p>
    <w:p>
      <w:pPr>
        <w:spacing w:after="0" w:line="191" w:lineRule="exact"/>
        <w:rPr>
          <w:sz w:val="20"/>
          <w:szCs w:val="20"/>
          <w:color w:val="auto"/>
        </w:rPr>
      </w:pPr>
    </w:p>
    <w:p>
      <w:pPr>
        <w:ind w:right="20" w:firstLine="595"/>
        <w:spacing w:after="0" w:line="280" w:lineRule="auto"/>
        <w:rPr>
          <w:sz w:val="20"/>
          <w:szCs w:val="20"/>
          <w:color w:val="auto"/>
        </w:rPr>
      </w:pPr>
      <w:r>
        <w:rPr>
          <w:rFonts w:ascii="Arial" w:cs="Arial" w:eastAsia="Arial" w:hAnsi="Arial"/>
          <w:sz w:val="15"/>
          <w:szCs w:val="15"/>
          <w:color w:val="auto"/>
        </w:rPr>
        <w:t xml:space="preserve">Section 9.01 </w:t>
      </w:r>
      <w:r>
        <w:rPr>
          <w:rFonts w:ascii="Arial" w:cs="Arial" w:eastAsia="Arial" w:hAnsi="Arial"/>
          <w:sz w:val="15"/>
          <w:szCs w:val="15"/>
          <w:i w:val="1"/>
          <w:iCs w:val="1"/>
          <w:color w:val="auto"/>
        </w:rPr>
        <w:t>Issuer May Consolidate, Etc., on Certain Terms.</w:t>
      </w:r>
      <w:r>
        <w:rPr>
          <w:rFonts w:ascii="Arial" w:cs="Arial" w:eastAsia="Arial" w:hAnsi="Arial"/>
          <w:sz w:val="15"/>
          <w:szCs w:val="15"/>
          <w:color w:val="auto"/>
        </w:rPr>
        <w:t xml:space="preserve"> The Issuer shall not consolidate with or merge into any other Person (in a transaction in which the Issuer is not the surviving corporation) or convey, transfer or lease its properties and assets substantially as an entirety to any Person, unless (a) the Person formed by such consolidation or into which the Issuer is merged or the Person which acquires by conveyance or transfer, or which leases, the properties and assets of the Issuer substantially as an entirety (i) shall be a corporation, limited liability company, partnership or trust, (ii) shall be organized and validly existing under the laws of the United States of America, any State thereof or the District of Columbia and (iii) shall expressly assume, by an indenture supplemental hereto, executed and delivered to the Trustee, in form satisfactory to the Trustee, the due and punctual payment of the principal, interest on and any Additional Amounts with respect to all the Securities and the performance or observance of every covenant of this Indenture on the part of the Issuer to be performed, by supplemental indenture satisfactory in form to the Trustee, executed and delivered to the Trustee, by the Person formed by such consolidation or into which the Issuer shall have been merged or by the Person which shall have acquired the Issuer’s assets; (b) immediately after giving effect to such transaction, no Event of Default, and no event which, after notice or lapse of time or both, would become an Event of Default, shall have happened and be continuing; and (c) the Issuer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87" w:name="page88"/>
    <w:bookmarkEnd w:id="87"/>
    <w:p>
      <w:pPr>
        <w:jc w:val="both"/>
        <w:ind w:right="100" w:firstLine="595"/>
        <w:spacing w:after="0" w:line="252" w:lineRule="auto"/>
        <w:rPr>
          <w:sz w:val="20"/>
          <w:szCs w:val="20"/>
          <w:color w:val="auto"/>
        </w:rPr>
      </w:pPr>
      <w:r>
        <w:rPr>
          <w:rFonts w:ascii="Arial" w:cs="Arial" w:eastAsia="Arial" w:hAnsi="Arial"/>
          <w:sz w:val="17"/>
          <w:szCs w:val="17"/>
          <w:color w:val="auto"/>
        </w:rPr>
        <w:t>The restrictions in this Section 9.01 shall not apply to (i) the merger or consolidation of the Issuer with one of its affiliates, if the Board of Directors determines in good faith that the purpose of such transaction is principally to change the Issuer’s State of incorporation or convert the Issuer’s form of organization to another form, or (ii) the merger of the Issuer with or into a single direct or indirect wholly owned Subsidiary.</w:t>
      </w:r>
    </w:p>
    <w:p>
      <w:pPr>
        <w:spacing w:after="0" w:line="178" w:lineRule="exact"/>
        <w:rPr>
          <w:sz w:val="20"/>
          <w:szCs w:val="20"/>
          <w:color w:val="auto"/>
        </w:rPr>
      </w:pPr>
    </w:p>
    <w:p>
      <w:pPr>
        <w:ind w:firstLine="595"/>
        <w:spacing w:after="0" w:line="288" w:lineRule="auto"/>
        <w:rPr>
          <w:sz w:val="20"/>
          <w:szCs w:val="20"/>
          <w:color w:val="auto"/>
        </w:rPr>
      </w:pPr>
      <w:r>
        <w:rPr>
          <w:rFonts w:ascii="Arial" w:cs="Arial" w:eastAsia="Arial" w:hAnsi="Arial"/>
          <w:sz w:val="15"/>
          <w:szCs w:val="15"/>
          <w:color w:val="auto"/>
        </w:rPr>
        <w:t xml:space="preserve">Section 9.02 </w:t>
      </w:r>
      <w:r>
        <w:rPr>
          <w:rFonts w:ascii="Arial" w:cs="Arial" w:eastAsia="Arial" w:hAnsi="Arial"/>
          <w:sz w:val="15"/>
          <w:szCs w:val="15"/>
          <w:i w:val="1"/>
          <w:iCs w:val="1"/>
          <w:color w:val="auto"/>
        </w:rPr>
        <w:t>Successor Issuer Substituted.</w:t>
      </w:r>
      <w:r>
        <w:rPr>
          <w:rFonts w:ascii="Arial" w:cs="Arial" w:eastAsia="Arial" w:hAnsi="Arial"/>
          <w:sz w:val="15"/>
          <w:szCs w:val="15"/>
          <w:color w:val="auto"/>
        </w:rPr>
        <w:t xml:space="preserve"> Upon any consolidation of the Issuer with, or merger of the Issuer into, any other Person or any conveyance, transfer or lease of the properties and assets of the Issuer substantially as an entirety in accordance with Section 9.01, the successor Person formed by such consolidation or into which the Issuer is merged or to which such conveyance, transfer or lease is made shall succeed to, and be substituted for, and may exercise every right and power of, the Issuer under this Indenture with the same effect as if such successor Person had been named as the Issuer herein, and thereafter, except in the case of a lease, the predecessor Person shall be relieved of all obligations and covenants under this Indenture and the Securities.</w:t>
      </w:r>
    </w:p>
    <w:p>
      <w:pPr>
        <w:spacing w:after="0" w:line="156" w:lineRule="exact"/>
        <w:rPr>
          <w:sz w:val="20"/>
          <w:szCs w:val="20"/>
          <w:color w:val="auto"/>
        </w:rPr>
      </w:pPr>
    </w:p>
    <w:p>
      <w:pPr>
        <w:ind w:right="20" w:firstLine="595"/>
        <w:spacing w:after="0" w:line="260" w:lineRule="auto"/>
        <w:rPr>
          <w:sz w:val="20"/>
          <w:szCs w:val="20"/>
          <w:color w:val="auto"/>
        </w:rPr>
      </w:pPr>
      <w:r>
        <w:rPr>
          <w:rFonts w:ascii="Arial" w:cs="Arial" w:eastAsia="Arial" w:hAnsi="Arial"/>
          <w:sz w:val="17"/>
          <w:szCs w:val="17"/>
          <w:color w:val="auto"/>
        </w:rPr>
        <w:t>In case of any such consolidation, merger, sale, lease or conveyance, such changes in phraseology and form (but not in substance) may be made in the Securities thereafter to be issued as may be appropriate.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10</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SATISFACTION AND DISCHARGE OF INDENTURE; DEFEASANCE; UNCLAIMED MONEYS</w:t>
      </w:r>
    </w:p>
    <w:p>
      <w:pPr>
        <w:spacing w:after="0" w:line="191"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color w:val="auto"/>
        </w:rPr>
        <w:t>Section 10.01</w:t>
      </w:r>
      <w:r>
        <w:rPr>
          <w:sz w:val="20"/>
          <w:szCs w:val="20"/>
          <w:color w:val="auto"/>
        </w:rPr>
        <w:tab/>
      </w:r>
      <w:r>
        <w:rPr>
          <w:rFonts w:ascii="Arial" w:cs="Arial" w:eastAsia="Arial" w:hAnsi="Arial"/>
          <w:sz w:val="15"/>
          <w:szCs w:val="15"/>
          <w:i w:val="1"/>
          <w:iCs w:val="1"/>
          <w:color w:val="auto"/>
        </w:rPr>
        <w:t xml:space="preserve">Satisfaction and Discharge of Indenture; Defeasance. </w:t>
      </w:r>
      <w:r>
        <w:rPr>
          <w:rFonts w:ascii="Arial" w:cs="Arial" w:eastAsia="Arial" w:hAnsi="Arial"/>
          <w:sz w:val="15"/>
          <w:szCs w:val="15"/>
          <w:color w:val="auto"/>
        </w:rPr>
        <w:t>(a) If at any time</w:t>
      </w:r>
    </w:p>
    <w:p>
      <w:pPr>
        <w:spacing w:after="0" w:line="201" w:lineRule="exact"/>
        <w:rPr>
          <w:sz w:val="20"/>
          <w:szCs w:val="20"/>
          <w:color w:val="auto"/>
        </w:rPr>
      </w:pPr>
    </w:p>
    <w:p>
      <w:pPr>
        <w:jc w:val="both"/>
        <w:ind w:left="2380" w:right="300" w:hanging="595"/>
        <w:spacing w:after="0" w:line="331" w:lineRule="auto"/>
        <w:tabs>
          <w:tab w:leader="none" w:pos="23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Issuer shall have paid or caused to be paid the principal of and interest on and any Additional Amounts with respect to all the Securities of any series Outstanding hereunder (other than Securities of such series which have been destroyed, lost or stolen and which have been replaced or paid as provided in Section 2.09) as and when the same shall have become due and payable, or</w:t>
      </w:r>
    </w:p>
    <w:p>
      <w:pPr>
        <w:spacing w:after="0" w:line="127" w:lineRule="exact"/>
        <w:rPr>
          <w:rFonts w:ascii="Arial" w:cs="Arial" w:eastAsia="Arial" w:hAnsi="Arial"/>
          <w:sz w:val="14"/>
          <w:szCs w:val="14"/>
          <w:color w:val="auto"/>
        </w:rPr>
      </w:pPr>
    </w:p>
    <w:p>
      <w:pPr>
        <w:ind w:left="2380" w:right="260" w:hanging="595"/>
        <w:spacing w:after="0" w:line="252" w:lineRule="auto"/>
        <w:tabs>
          <w:tab w:leader="none" w:pos="23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Issuer shall have delivered to the Trustee for cancellation all Securities of any series theretofore authenticated (other than any Securities of such series which shall have been destroyed, lost or stolen and which shall have been replaced or paid as provided in Section 2.09); or</w:t>
      </w:r>
    </w:p>
    <w:p>
      <w:pPr>
        <w:spacing w:after="0" w:line="178" w:lineRule="exact"/>
        <w:rPr>
          <w:rFonts w:ascii="Arial" w:cs="Arial" w:eastAsia="Arial" w:hAnsi="Arial"/>
          <w:sz w:val="17"/>
          <w:szCs w:val="17"/>
          <w:color w:val="auto"/>
        </w:rPr>
      </w:pPr>
    </w:p>
    <w:p>
      <w:pPr>
        <w:ind w:left="2380" w:right="200" w:hanging="595"/>
        <w:spacing w:after="0" w:line="252" w:lineRule="auto"/>
        <w:tabs>
          <w:tab w:leader="none" w:pos="23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 the case of any series of Securities the exact amount (including the currency of payment) of principal of and interest and Additional Amounts due on which on the dates referred to in clause (B) below can be determined at the time of making the deposit referred to in such clause,</w:t>
      </w:r>
    </w:p>
    <w:p>
      <w:pPr>
        <w:spacing w:after="0" w:line="178" w:lineRule="exact"/>
        <w:rPr>
          <w:rFonts w:ascii="Arial" w:cs="Arial" w:eastAsia="Arial" w:hAnsi="Arial"/>
          <w:sz w:val="17"/>
          <w:szCs w:val="17"/>
          <w:color w:val="auto"/>
        </w:rPr>
      </w:pPr>
    </w:p>
    <w:p>
      <w:pPr>
        <w:ind w:left="2980" w:right="80" w:hanging="599"/>
        <w:spacing w:after="0" w:line="331" w:lineRule="auto"/>
        <w:tabs>
          <w:tab w:leader="none" w:pos="2980" w:val="left"/>
        </w:tabs>
        <w:numPr>
          <w:ilvl w:val="1"/>
          <w:numId w:val="67"/>
        </w:numPr>
        <w:rPr>
          <w:rFonts w:ascii="Arial" w:cs="Arial" w:eastAsia="Arial" w:hAnsi="Arial"/>
          <w:sz w:val="14"/>
          <w:szCs w:val="14"/>
          <w:color w:val="auto"/>
        </w:rPr>
      </w:pPr>
      <w:r>
        <w:rPr>
          <w:rFonts w:ascii="Arial" w:cs="Arial" w:eastAsia="Arial" w:hAnsi="Arial"/>
          <w:sz w:val="14"/>
          <w:szCs w:val="14"/>
          <w:color w:val="auto"/>
        </w:rPr>
        <w:t>all the Securities of such series not theretofore delivered to the Trustee for cancellation shall have become due and payable, or are by their terms to become due and payable within one year or are to be called for redemption within one year in accordance with their terms under arrangements satisfactory to the Trustee for the giving of notice of redemption, and</w:t>
      </w: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9">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20"/>
          </w:cols>
          <w:pgMar w:left="320" w:top="846" w:right="359" w:bottom="1440" w:gutter="0" w:footer="0" w:header="0"/>
        </w:sectPr>
      </w:pPr>
    </w:p>
    <w:bookmarkStart w:id="88" w:name="page89"/>
    <w:bookmarkEnd w:id="88"/>
    <w:p>
      <w:pPr>
        <w:ind w:left="2980" w:right="40" w:hanging="599"/>
        <w:spacing w:after="0" w:line="280" w:lineRule="auto"/>
        <w:tabs>
          <w:tab w:leader="none" w:pos="298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Issuer shall have irrevocably deposited or caused to be deposited with the Trustee as trust funds the entire amount (i) in the case of any series of Securities the payments on which may only be made in Dollars, in Dollars (other than moneys repaid by the Trustee or any paying agent to the Issuer in accordance with Section 10.04) and/or U.S. Government Obligations maturing as to principal and interest in such amounts and at such times as will insure the availability of cash in such currency, or (ii) in the case of any series of Securities the payments on which may only be made in a Foreign Currency, in such Foreign Currency (other than moneys repaid by the Trustee or any paying agent to the Issuer in accordance with Section 10.04) and/or Foreign Government Obligations maturing as to principal and interest in such amounts and at such times as will insure the availability of cash in such currency, in each case sufficient to pay on any subsequent Interest Payment Date all interest due on such Interest Payment Date on the Securities of such series and to pay at maturity or upon redemption all Securities of such series (in each case other than any Securities of such series which shall have been destroyed, lost or stolen and which shall have been replaced or paid as provided in Section 2.09) not theretofore delivered to the Trustee for cancellation, including principal, interest and Additional Amounts due or to become due to such date of maturity, as the case may be,</w:t>
      </w:r>
    </w:p>
    <w:p>
      <w:pPr>
        <w:spacing w:after="0" w:line="162" w:lineRule="exact"/>
        <w:rPr>
          <w:sz w:val="20"/>
          <w:szCs w:val="20"/>
          <w:color w:val="auto"/>
        </w:rPr>
      </w:pPr>
    </w:p>
    <w:p>
      <w:pPr>
        <w:spacing w:after="0" w:line="281" w:lineRule="auto"/>
        <w:rPr>
          <w:sz w:val="20"/>
          <w:szCs w:val="20"/>
          <w:color w:val="auto"/>
        </w:rPr>
      </w:pPr>
      <w:r>
        <w:rPr>
          <w:rFonts w:ascii="Arial" w:cs="Arial" w:eastAsia="Arial" w:hAnsi="Arial"/>
          <w:sz w:val="15"/>
          <w:szCs w:val="15"/>
          <w:color w:val="auto"/>
        </w:rPr>
        <w:t>and if, in a case described in Section 10.01(a)(iii)(B), the Issuer shall also pay or cause to be paid all other sums payable hereunder by the Issuer, including amounts due the Trustee pursuant to Section 6.06, with respect to Securities of such series, then this Indenture shall cease to be of further effect with respect to Securities of such series (except as to (1) rights of registration of transfer, conversion and exchange of Securities of such series and the Issuer’s right of optional redemption, (2) substitution of mutilated, defaced, destroyed, lost or stolen Securities, (3) rights of Holders of Securities to receive, solely from the trust fund described in Section 10.01(a)(iii)(B), payments of principal thereof and interest thereon, upon the original stated due dates therefor (but not upon acceleration) and remaining rights of the Holders to receive, solely from the trust fund described in Section 10.01(a)(iii)(B), sinking fund payments, if any, (4) the rights (including the Trustee’s rights under Section 10.05) and immunities of the Trustee hereunder and the Trustee’s obligations under Sections 10.02 and 10.04 and (5) the obligations of the Issuer under Section 3.02), and the Trustee, on demand of the Issuer accompanied by an Officer’s Certificate and an Opinion of Counsel which complies with Section 11.05 and at the cost and expense of the Issuer, shall execute proper instruments acknowledging such satisfaction of and discharging this Indenture with respect to such series. The Issuer agrees to reimburse the Trustee for any costs or expenses thereafter reasonably and properly incurred and to compensate the Trustee for any services thereafter reasonably and properly rendered by the Trustee in connection with this Indenture or the Securities of such series.</w:t>
      </w:r>
    </w:p>
    <w:p>
      <w:pPr>
        <w:spacing w:after="0" w:line="35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0">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89" w:name="page90"/>
    <w:bookmarkEnd w:id="89"/>
    <w:p>
      <w:pPr>
        <w:ind w:left="660" w:right="80" w:hanging="590"/>
        <w:spacing w:after="0" w:line="280" w:lineRule="auto"/>
        <w:tabs>
          <w:tab w:leader="none" w:pos="6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following subsection shall apply to the Securities of each series unless specifically otherwise provided in a Board Resolution, Officer’s Certificate or indenture supplemental hereto pursuant to Section 2.03. In addition to the right to discharge of the Indenture pursuant to subsection (a) above, the Issuer, at its option and at any time, by written notice by an officer delivered to the Trustee, may elect to have all of its obligations with respect to all Outstanding Securities of a series discharged (“</w:t>
      </w:r>
      <w:r>
        <w:rPr>
          <w:rFonts w:ascii="Arial" w:cs="Arial" w:eastAsia="Arial" w:hAnsi="Arial"/>
          <w:sz w:val="15"/>
          <w:szCs w:val="15"/>
          <w:b w:val="1"/>
          <w:bCs w:val="1"/>
          <w:color w:val="auto"/>
        </w:rPr>
        <w:t>Legal Defeasance</w:t>
      </w:r>
      <w:r>
        <w:rPr>
          <w:rFonts w:ascii="Arial" w:cs="Arial" w:eastAsia="Arial" w:hAnsi="Arial"/>
          <w:sz w:val="15"/>
          <w:szCs w:val="15"/>
          <w:color w:val="auto"/>
        </w:rPr>
        <w:t>”), such discharge to be effective on the date that the conditions set forth in clauses (i) through (iv) and (vi) of Section 10.01(d) are satisfied, and thereafter the Issuer shall be deemed to have paid and discharged the entire Debt on all the Securities of such series, and satisfied all its other obligations under such Securities and this Indenture insofar as such Securities are concerned and this Indenture shall cease to be of further effect with respect to Securities of such series (except as to (1) rights of registration of transfer, conversion and exchange of Securities of such series, (2) substitution of apparently mutilated, defaced, destroyed, lost or stolen Securities, (3) rights of Holders of Securities to receive, solely from the trust fund described in Section 10.01(d)(i), payments of principal thereof, interest thereon and any Additional Amounts, upon the original Stated Maturities therefor (but not upon acceleration) and remaining rights of the Holders to receive, solely from the trust fund described in Section 10.01(d)(i), sinking fund payments, if any, (4) the rights (including the Trustee’s rights under Section 10.05) and immunities of the Trustee hereunder and the Trustee’s obligations with respect to the Securities of such series under Sections 10.02 and 10.04 and (5) the obligations of the Issuer under Section 3.02).</w:t>
      </w:r>
    </w:p>
    <w:p>
      <w:pPr>
        <w:spacing w:after="0" w:line="159" w:lineRule="exact"/>
        <w:rPr>
          <w:rFonts w:ascii="Arial" w:cs="Arial" w:eastAsia="Arial" w:hAnsi="Arial"/>
          <w:sz w:val="15"/>
          <w:szCs w:val="15"/>
          <w:color w:val="auto"/>
        </w:rPr>
      </w:pPr>
    </w:p>
    <w:p>
      <w:pPr>
        <w:ind w:left="660" w:hanging="590"/>
        <w:spacing w:after="0" w:line="301" w:lineRule="auto"/>
        <w:tabs>
          <w:tab w:leader="none" w:pos="6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following subsection shall apply to the Securities of each series unless specifically otherwise provided in a Board Resolution, Officer’s Certificate or indenture supplemental hereto provided pursuant to Section 2.03. In addition to the right to discharge of the Indenture pursuant to subsection (a) and to Legal Defeasance pursuant to subsection (b), above, the Issuer, at its option and at any time, by written notice executed by an officer delivered to the Trustee, may elect to have its obligations under any covenant contained in this Indenture or in the Board Resolution or supplemental indenture relating to such series pursuant to Section 2.03 discharged with respect to all Outstanding Securities of a series, this Indenture and any indentures supplemental to this Indenture with respect to such series (“</w:t>
      </w:r>
      <w:r>
        <w:rPr>
          <w:rFonts w:ascii="Arial" w:cs="Arial" w:eastAsia="Arial" w:hAnsi="Arial"/>
          <w:sz w:val="14"/>
          <w:szCs w:val="14"/>
          <w:b w:val="1"/>
          <w:bCs w:val="1"/>
          <w:color w:val="auto"/>
        </w:rPr>
        <w:t>Covenant Defeasance</w:t>
      </w:r>
      <w:r>
        <w:rPr>
          <w:rFonts w:ascii="Arial" w:cs="Arial" w:eastAsia="Arial" w:hAnsi="Arial"/>
          <w:sz w:val="14"/>
          <w:szCs w:val="14"/>
          <w:color w:val="auto"/>
        </w:rPr>
        <w:t>”), such discharge to be effective on the date the conditions set forth in clauses (i) through (iii) and (v) through (vi) of Section 10.01(d) are satisfied, and such Securities shall thereafter be deemed to be not “Outstanding” for the purposes of any direction, waiver, consent or declaration of Securityholders (and any consequences thereof) in connection with such covenants, but shall continue to be “Outstanding” for all other purposes under this Indenture. For this purpose, such Covenant Defeasance means that, with respect to the Outstanding Securities of a series, the Issuer may omit to comply with and shall have no liability in respect of any term, condition or limitation set forth in any such covenant, whether directly or indirectly, by reason of any reference elsewhere herein to any such covenant or by reason of reference in any such covenant to any other provision herein or in any other document and such omission to comply shall not constitute an Event of Default under Section 5.01(c) or otherwise, but except as specified in this Section 10.01(c), the remainder of the Issuer’s obligations under the Securities of such series, this Indenture, and any indentures supplemental to this Indenture with respect to such series shall be unaffected thereby.</w:t>
      </w:r>
    </w:p>
    <w:p>
      <w:pPr>
        <w:spacing w:after="0" w:line="200" w:lineRule="exact"/>
        <w:rPr>
          <w:sz w:val="20"/>
          <w:szCs w:val="20"/>
          <w:color w:val="auto"/>
        </w:rPr>
      </w:pPr>
    </w:p>
    <w:p>
      <w:pPr>
        <w:spacing w:after="0" w:line="347"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9525</wp:posOffset>
            </wp:positionV>
            <wp:extent cx="714375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1">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0120"/>
          </w:cols>
          <w:pgMar w:left="1440" w:top="846" w:right="339" w:bottom="1440" w:gutter="0" w:footer="0" w:header="0"/>
        </w:sectPr>
      </w:pPr>
    </w:p>
    <w:bookmarkStart w:id="90" w:name="page91"/>
    <w:bookmarkEnd w:id="90"/>
    <w:p>
      <w:pPr>
        <w:ind w:left="660" w:hanging="590"/>
        <w:spacing w:after="0" w:line="260"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following shall be the conditions to the application of Legal Defeasance (to the extent set forth in subsection (b)), or Covenant Defeasance (to the extent set forth in subsection (c)) to the Securities of the applicable series:</w:t>
      </w:r>
    </w:p>
    <w:p>
      <w:pPr>
        <w:spacing w:after="0" w:line="171" w:lineRule="exact"/>
        <w:rPr>
          <w:rFonts w:ascii="Arial" w:cs="Arial" w:eastAsia="Arial" w:hAnsi="Arial"/>
          <w:sz w:val="17"/>
          <w:szCs w:val="17"/>
          <w:color w:val="auto"/>
        </w:rPr>
      </w:pPr>
    </w:p>
    <w:p>
      <w:pPr>
        <w:ind w:left="1260" w:right="40" w:hanging="595"/>
        <w:spacing w:after="0" w:line="280" w:lineRule="auto"/>
        <w:tabs>
          <w:tab w:leader="none" w:pos="1260" w:val="left"/>
        </w:tabs>
        <w:numPr>
          <w:ilvl w:val="1"/>
          <w:numId w:val="70"/>
        </w:numPr>
        <w:rPr>
          <w:rFonts w:ascii="Arial" w:cs="Arial" w:eastAsia="Arial" w:hAnsi="Arial"/>
          <w:sz w:val="15"/>
          <w:szCs w:val="15"/>
          <w:color w:val="auto"/>
        </w:rPr>
      </w:pPr>
      <w:r>
        <w:rPr>
          <w:rFonts w:ascii="Arial" w:cs="Arial" w:eastAsia="Arial" w:hAnsi="Arial"/>
          <w:sz w:val="15"/>
          <w:szCs w:val="15"/>
          <w:color w:val="auto"/>
        </w:rPr>
        <w:t>the Issuer irrevocably deposits or causes to be deposited in trust with the Trustee or, at the option of the Trustee, with a trustee satisfactory to the Trustee and the Company under the terms of an irrevocable trust agreement in form and substance satisfactory to the Trustee, (i) in the case of any series of Securities the payments on which may only be made in Dollars, Dollars (other than moneys repaid by the Trustee or any paying agent to the Issuer in accordance with Section 10.04) and/or U.S. Government Obligations maturing as to principal and interest in such amounts and at such times as will insure the availability of cash in such currency, or (ii) in the case of any series of Securities the payments on which may only be made in a Foreign Currency, such Foreign Currency (other than moneys repaid by the Trustee or any paying agent to the Issuer in accordance with Section 10.04) and/or Foreign Government Obligations maturing as to principal and interest in such amounts and at such times as will insure the availability of cash in such currency, in each case sufficient to pay on any subsequent Interest Payment Date all interest due on such Interest Payment Date on the Securities of such series and to pay at maturity or upon redemption all Securities of such series (in each case other than any Securities of such series which shall have been destroyed, lost or stolen and which shall have been replaced or paid as provided in Section 2.09) not theretofore delivered to the Trustee for cancellation, including principal, interest and Additional Amounts due or to become due to such date of maturity, as the case may be;</w:t>
      </w:r>
    </w:p>
    <w:p>
      <w:pPr>
        <w:spacing w:after="0" w:line="361"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9525</wp:posOffset>
            </wp:positionV>
            <wp:extent cx="714375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2">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0120"/>
          </w:cols>
          <w:pgMar w:left="1440" w:top="846" w:right="339" w:bottom="1440" w:gutter="0" w:footer="0" w:header="0"/>
        </w:sectPr>
      </w:pPr>
    </w:p>
    <w:bookmarkStart w:id="91" w:name="page92"/>
    <w:bookmarkEnd w:id="91"/>
    <w:p>
      <w:pPr>
        <w:ind w:left="2380" w:right="260" w:hanging="595"/>
        <w:spacing w:after="0" w:line="367" w:lineRule="auto"/>
        <w:tabs>
          <w:tab w:leader="none" w:pos="23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Issuer delivers to the Trustee an Officer’s Certificate stating that all conditions precedent specified herein relating to Legal Defeasance or Covenant Defeasance, as the case may be, have been complied with, and an Opinion of Counsel to the same effect;</w:t>
      </w:r>
    </w:p>
    <w:p>
      <w:pPr>
        <w:spacing w:after="0" w:line="102" w:lineRule="exact"/>
        <w:rPr>
          <w:rFonts w:ascii="Arial" w:cs="Arial" w:eastAsia="Arial" w:hAnsi="Arial"/>
          <w:sz w:val="14"/>
          <w:szCs w:val="14"/>
          <w:color w:val="auto"/>
        </w:rPr>
      </w:pPr>
    </w:p>
    <w:p>
      <w:pPr>
        <w:jc w:val="both"/>
        <w:ind w:left="2380" w:right="240" w:hanging="595"/>
        <w:spacing w:after="0" w:line="252" w:lineRule="auto"/>
        <w:tabs>
          <w:tab w:leader="none" w:pos="23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no Event of Default under subsection (a), (b), (d) or (e) of Section 5.01 shall have occurred and be continuing, and no event which with notice or lapse of time or both would become such an Event of Default shall have occurred and be continuing, on the date of such deposit;</w:t>
      </w:r>
    </w:p>
    <w:p>
      <w:pPr>
        <w:spacing w:after="0" w:line="178" w:lineRule="exact"/>
        <w:rPr>
          <w:rFonts w:ascii="Arial" w:cs="Arial" w:eastAsia="Arial" w:hAnsi="Arial"/>
          <w:sz w:val="17"/>
          <w:szCs w:val="17"/>
          <w:color w:val="auto"/>
        </w:rPr>
      </w:pPr>
    </w:p>
    <w:p>
      <w:pPr>
        <w:ind w:left="2380" w:right="320" w:hanging="595"/>
        <w:spacing w:after="0" w:line="283" w:lineRule="auto"/>
        <w:tabs>
          <w:tab w:leader="none" w:pos="2380" w:val="left"/>
        </w:tabs>
        <w:numPr>
          <w:ilvl w:val="0"/>
          <w:numId w:val="71"/>
        </w:numPr>
        <w:rPr>
          <w:rFonts w:ascii="Arial" w:cs="Arial" w:eastAsia="Arial" w:hAnsi="Arial"/>
          <w:sz w:val="15"/>
          <w:szCs w:val="15"/>
          <w:color w:val="auto"/>
        </w:rPr>
      </w:pPr>
      <w:r>
        <w:rPr>
          <w:rFonts w:ascii="Arial" w:cs="Arial" w:eastAsia="Arial" w:hAnsi="Arial"/>
          <w:sz w:val="15"/>
          <w:szCs w:val="15"/>
          <w:color w:val="auto"/>
        </w:rPr>
        <w:t>in the event of an election for Legal Defeasance under subsection (b), the Issuer shall have delivered to the Trustee an Opinion of Counsel stating that (A) the Issuer has received from, or there has been published by, the Internal Revenue Service a ruling or</w:t>
      </w:r>
    </w:p>
    <w:p>
      <w:pPr>
        <w:ind w:left="2380"/>
        <w:spacing w:after="0" w:line="244" w:lineRule="auto"/>
        <w:rPr>
          <w:rFonts w:ascii="Arial" w:cs="Arial" w:eastAsia="Arial" w:hAnsi="Arial"/>
          <w:sz w:val="15"/>
          <w:szCs w:val="15"/>
          <w:color w:val="auto"/>
        </w:rPr>
      </w:pPr>
      <w:r>
        <w:rPr>
          <w:rFonts w:ascii="Arial" w:cs="Arial" w:eastAsia="Arial" w:hAnsi="Arial"/>
          <w:sz w:val="17"/>
          <w:szCs w:val="17"/>
          <w:color w:val="auto"/>
        </w:rPr>
        <w:t>(B) since the date of this instrument, there has been a change in the applicable Federal income tax law, 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amounts, in the same manner and at the same times as would be the case if such deposit, defeasance and discharge were not to occur;</w:t>
      </w:r>
    </w:p>
    <w:p>
      <w:pPr>
        <w:spacing w:after="0" w:line="186" w:lineRule="exact"/>
        <w:rPr>
          <w:rFonts w:ascii="Arial" w:cs="Arial" w:eastAsia="Arial" w:hAnsi="Arial"/>
          <w:sz w:val="15"/>
          <w:szCs w:val="15"/>
          <w:color w:val="auto"/>
        </w:rPr>
      </w:pPr>
    </w:p>
    <w:p>
      <w:pPr>
        <w:ind w:left="2380" w:right="60" w:hanging="595"/>
        <w:spacing w:after="0" w:line="247" w:lineRule="auto"/>
        <w:tabs>
          <w:tab w:leader="none" w:pos="23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in the event of an election for Covenant Defeasance under subsection (c), the Issuer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 and</w:t>
      </w:r>
    </w:p>
    <w:p>
      <w:pPr>
        <w:spacing w:after="0" w:line="184" w:lineRule="exact"/>
        <w:rPr>
          <w:rFonts w:ascii="Arial" w:cs="Arial" w:eastAsia="Arial" w:hAnsi="Arial"/>
          <w:sz w:val="17"/>
          <w:szCs w:val="17"/>
          <w:color w:val="auto"/>
        </w:rPr>
      </w:pPr>
    </w:p>
    <w:p>
      <w:pPr>
        <w:ind w:left="2380" w:right="220" w:hanging="595"/>
        <w:spacing w:after="0" w:line="327" w:lineRule="auto"/>
        <w:tabs>
          <w:tab w:leader="none" w:pos="2380" w:val="left"/>
        </w:tabs>
        <w:numPr>
          <w:ilvl w:val="0"/>
          <w:numId w:val="71"/>
        </w:numPr>
        <w:rPr>
          <w:rFonts w:ascii="Arial" w:cs="Arial" w:eastAsia="Arial" w:hAnsi="Arial"/>
          <w:sz w:val="15"/>
          <w:szCs w:val="15"/>
          <w:color w:val="auto"/>
        </w:rPr>
      </w:pPr>
      <w:r>
        <w:rPr>
          <w:rFonts w:ascii="Arial" w:cs="Arial" w:eastAsia="Arial" w:hAnsi="Arial"/>
          <w:sz w:val="15"/>
          <w:szCs w:val="15"/>
          <w:color w:val="auto"/>
        </w:rPr>
        <w:t>notwithstanding any other provisions of this subsection (d), such defeasance shall be effected in compliance with any additional or substitute terms, conditions or limitations that may be imposed on the Issuer pursuant to Section 2.03.</w:t>
      </w:r>
    </w:p>
    <w:p>
      <w:pPr>
        <w:spacing w:after="0" w:line="125" w:lineRule="exact"/>
        <w:rPr>
          <w:sz w:val="20"/>
          <w:szCs w:val="20"/>
          <w:color w:val="auto"/>
        </w:rPr>
      </w:pPr>
    </w:p>
    <w:p>
      <w:pPr>
        <w:ind w:right="120"/>
        <w:spacing w:after="0" w:line="327" w:lineRule="auto"/>
        <w:rPr>
          <w:sz w:val="20"/>
          <w:szCs w:val="20"/>
          <w:color w:val="auto"/>
        </w:rPr>
      </w:pPr>
      <w:r>
        <w:rPr>
          <w:rFonts w:ascii="Arial" w:cs="Arial" w:eastAsia="Arial" w:hAnsi="Arial"/>
          <w:sz w:val="15"/>
          <w:szCs w:val="15"/>
          <w:color w:val="auto"/>
        </w:rPr>
        <w:t>After such irrevocable deposit made pursuant to this Section 10.01(d) and satisfaction of the other applicable conditions set forth in this subsection (d), the Trustee upon request shall execute proper instruments acknowledging the discharge of the Issuer’s obligations pursuant to this Section 10.01.</w:t>
      </w:r>
    </w:p>
    <w:p>
      <w:pPr>
        <w:spacing w:after="0" w:line="3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3">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92" w:name="page93"/>
    <w:bookmarkEnd w:id="92"/>
    <w:p>
      <w:pPr>
        <w:ind w:firstLine="595"/>
        <w:spacing w:after="0" w:line="293" w:lineRule="auto"/>
        <w:rPr>
          <w:sz w:val="20"/>
          <w:szCs w:val="20"/>
          <w:color w:val="auto"/>
        </w:rPr>
      </w:pPr>
      <w:r>
        <w:rPr>
          <w:rFonts w:ascii="Arial" w:cs="Arial" w:eastAsia="Arial" w:hAnsi="Arial"/>
          <w:sz w:val="15"/>
          <w:szCs w:val="15"/>
          <w:color w:val="auto"/>
        </w:rPr>
        <w:t xml:space="preserve">Section 10.02 </w:t>
      </w:r>
      <w:r>
        <w:rPr>
          <w:rFonts w:ascii="Arial" w:cs="Arial" w:eastAsia="Arial" w:hAnsi="Arial"/>
          <w:sz w:val="15"/>
          <w:szCs w:val="15"/>
          <w:i w:val="1"/>
          <w:iCs w:val="1"/>
          <w:color w:val="auto"/>
        </w:rPr>
        <w:t>Application by Trustee of Funds Deposited for Payment of Securities.</w:t>
      </w:r>
      <w:r>
        <w:rPr>
          <w:rFonts w:ascii="Arial" w:cs="Arial" w:eastAsia="Arial" w:hAnsi="Arial"/>
          <w:sz w:val="15"/>
          <w:szCs w:val="15"/>
          <w:color w:val="auto"/>
        </w:rPr>
        <w:t xml:space="preserve"> Subject to Section 10.04, all moneys deposited with the Trustee (or other trustee) pursuant to Section 10.01 shall be held in trust and applied by it to the payment, either directly or through any paying agent (including the Issuer acting as its own paying agent), to the Holders of the particular Securities of such series for the payment or redemption of which such moneys have been deposited with the Trustee, of all sums due and to become due thereon for principal and interest; but such money need not be segregated from other funds except to the extent required by law.</w:t>
      </w:r>
    </w:p>
    <w:p>
      <w:pPr>
        <w:spacing w:after="0" w:line="150" w:lineRule="exact"/>
        <w:rPr>
          <w:sz w:val="20"/>
          <w:szCs w:val="20"/>
          <w:color w:val="auto"/>
        </w:rPr>
      </w:pPr>
    </w:p>
    <w:p>
      <w:pPr>
        <w:ind w:firstLine="595"/>
        <w:spacing w:after="0" w:line="301" w:lineRule="auto"/>
        <w:rPr>
          <w:sz w:val="20"/>
          <w:szCs w:val="20"/>
          <w:color w:val="auto"/>
        </w:rPr>
      </w:pPr>
      <w:r>
        <w:rPr>
          <w:rFonts w:ascii="Arial" w:cs="Arial" w:eastAsia="Arial" w:hAnsi="Arial"/>
          <w:sz w:val="15"/>
          <w:szCs w:val="15"/>
          <w:color w:val="auto"/>
        </w:rPr>
        <w:t xml:space="preserve">Section 10.03 </w:t>
      </w:r>
      <w:r>
        <w:rPr>
          <w:rFonts w:ascii="Arial" w:cs="Arial" w:eastAsia="Arial" w:hAnsi="Arial"/>
          <w:sz w:val="15"/>
          <w:szCs w:val="15"/>
          <w:i w:val="1"/>
          <w:iCs w:val="1"/>
          <w:color w:val="auto"/>
        </w:rPr>
        <w:t>Repayment of Moneys Held by Paying Agent.</w:t>
      </w:r>
      <w:r>
        <w:rPr>
          <w:rFonts w:ascii="Arial" w:cs="Arial" w:eastAsia="Arial" w:hAnsi="Arial"/>
          <w:sz w:val="15"/>
          <w:szCs w:val="15"/>
          <w:color w:val="auto"/>
        </w:rPr>
        <w:t xml:space="preserve"> In connection with the satisfaction and discharge of this Indenture with respect to Securities of any series, all moneys then held by any paying agent under the provisions of this Indenture with respect to such series of Securities shall, upon demand of the Issuer, be repaid to it or paid to the Trustee and thereupon such paying agent shall be released from all further liability with respect to such moneys.</w:t>
      </w:r>
    </w:p>
    <w:p>
      <w:pPr>
        <w:spacing w:after="0" w:line="145" w:lineRule="exact"/>
        <w:rPr>
          <w:sz w:val="20"/>
          <w:szCs w:val="20"/>
          <w:color w:val="auto"/>
        </w:rPr>
      </w:pPr>
    </w:p>
    <w:p>
      <w:pPr>
        <w:ind w:right="40" w:firstLine="595"/>
        <w:spacing w:after="0" w:line="288" w:lineRule="auto"/>
        <w:rPr>
          <w:sz w:val="20"/>
          <w:szCs w:val="20"/>
          <w:color w:val="auto"/>
        </w:rPr>
      </w:pPr>
      <w:r>
        <w:rPr>
          <w:rFonts w:ascii="Arial" w:cs="Arial" w:eastAsia="Arial" w:hAnsi="Arial"/>
          <w:sz w:val="15"/>
          <w:szCs w:val="15"/>
          <w:color w:val="auto"/>
        </w:rPr>
        <w:t xml:space="preserve">Section 10.04 </w:t>
      </w:r>
      <w:r>
        <w:rPr>
          <w:rFonts w:ascii="Arial" w:cs="Arial" w:eastAsia="Arial" w:hAnsi="Arial"/>
          <w:sz w:val="15"/>
          <w:szCs w:val="15"/>
          <w:i w:val="1"/>
          <w:iCs w:val="1"/>
          <w:color w:val="auto"/>
        </w:rPr>
        <w:t>Return of Moneys Held by Trustee and Paying Agent Unclaimed for Two Years.</w:t>
      </w:r>
      <w:r>
        <w:rPr>
          <w:rFonts w:ascii="Arial" w:cs="Arial" w:eastAsia="Arial" w:hAnsi="Arial"/>
          <w:sz w:val="15"/>
          <w:szCs w:val="15"/>
          <w:color w:val="auto"/>
        </w:rPr>
        <w:t xml:space="preserve"> Any moneys deposited with or paid to the Trustee or any paying agent for the payment of the principal of, interest on or additional amounts in respect of any Security of any series and not applied but remaining unclaimed for two years after the date upon which such principal, interest or additional amount shall have become due and payable, shall be repaid to the Issuer by the Trustee for such series or such paying agent, and the Holder of the Securities of such series shall thereafter look only to the Issuer for any payment which such Holder may be entitled to collect, and all liability of the Trustee or any paying agent with respect to such moneys shall thereupon cease.</w:t>
      </w:r>
    </w:p>
    <w:p>
      <w:pPr>
        <w:spacing w:after="0" w:line="156" w:lineRule="exact"/>
        <w:rPr>
          <w:sz w:val="20"/>
          <w:szCs w:val="20"/>
          <w:color w:val="auto"/>
        </w:rPr>
      </w:pPr>
    </w:p>
    <w:p>
      <w:pPr>
        <w:jc w:val="both"/>
        <w:ind w:right="120" w:firstLine="595"/>
        <w:spacing w:after="0" w:line="252" w:lineRule="auto"/>
        <w:rPr>
          <w:sz w:val="20"/>
          <w:szCs w:val="20"/>
          <w:color w:val="auto"/>
        </w:rPr>
      </w:pPr>
      <w:r>
        <w:rPr>
          <w:rFonts w:ascii="Arial" w:cs="Arial" w:eastAsia="Arial" w:hAnsi="Arial"/>
          <w:sz w:val="17"/>
          <w:szCs w:val="17"/>
          <w:color w:val="auto"/>
        </w:rPr>
        <w:t xml:space="preserve">Section 10.05 </w:t>
      </w:r>
      <w:r>
        <w:rPr>
          <w:rFonts w:ascii="Arial" w:cs="Arial" w:eastAsia="Arial" w:hAnsi="Arial"/>
          <w:sz w:val="17"/>
          <w:szCs w:val="17"/>
          <w:i w:val="1"/>
          <w:iCs w:val="1"/>
          <w:color w:val="auto"/>
        </w:rPr>
        <w:t>Indemnity for U.S. Government Obligations and Foreign Government Obligations.</w:t>
      </w:r>
      <w:r>
        <w:rPr>
          <w:rFonts w:ascii="Arial" w:cs="Arial" w:eastAsia="Arial" w:hAnsi="Arial"/>
          <w:sz w:val="17"/>
          <w:szCs w:val="17"/>
          <w:color w:val="auto"/>
        </w:rPr>
        <w:t xml:space="preserve"> The Issuer shall pay and indemnify the Trustee against any tax, fee or other charge imposed on or assessed against the U.S. Government Obligations or Foreign Government Obligations deposited pursuant to Section 10.01 or the principal or interest received in respect of such obligations.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11</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MISCELLANEOUS PROVISIONS</w:t>
      </w:r>
    </w:p>
    <w:p>
      <w:pPr>
        <w:spacing w:after="0" w:line="191" w:lineRule="exact"/>
        <w:rPr>
          <w:sz w:val="20"/>
          <w:szCs w:val="20"/>
          <w:color w:val="auto"/>
        </w:rPr>
      </w:pPr>
    </w:p>
    <w:p>
      <w:pPr>
        <w:ind w:right="40" w:firstLine="595"/>
        <w:spacing w:after="0" w:line="281" w:lineRule="auto"/>
        <w:rPr>
          <w:sz w:val="20"/>
          <w:szCs w:val="20"/>
          <w:color w:val="auto"/>
        </w:rPr>
      </w:pPr>
      <w:r>
        <w:rPr>
          <w:rFonts w:ascii="Arial" w:cs="Arial" w:eastAsia="Arial" w:hAnsi="Arial"/>
          <w:sz w:val="15"/>
          <w:szCs w:val="15"/>
          <w:color w:val="auto"/>
        </w:rPr>
        <w:t xml:space="preserve">Section 11.01 </w:t>
      </w:r>
      <w:r>
        <w:rPr>
          <w:rFonts w:ascii="Arial" w:cs="Arial" w:eastAsia="Arial" w:hAnsi="Arial"/>
          <w:sz w:val="15"/>
          <w:szCs w:val="15"/>
          <w:i w:val="1"/>
          <w:iCs w:val="1"/>
          <w:color w:val="auto"/>
        </w:rPr>
        <w:t>No Recourse.</w:t>
      </w:r>
      <w:r>
        <w:rPr>
          <w:rFonts w:ascii="Arial" w:cs="Arial" w:eastAsia="Arial" w:hAnsi="Arial"/>
          <w:sz w:val="15"/>
          <w:szCs w:val="15"/>
          <w:color w:val="auto"/>
        </w:rPr>
        <w:t xml:space="preserve"> No recourse under or upon any obligation, covenant or agreement of this Indenture, or of any Security, or for any claim based thereon or otherwise in respect thereof, shall be had against any incorporator, stockholder, officer or director, past, present or future as such, of the Issuer or of any predecessor or successor corporation, either directly or through the Issuer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Issuer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35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4">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93" w:name="page94"/>
    <w:bookmarkEnd w:id="93"/>
    <w:p>
      <w:pPr>
        <w:ind w:right="40" w:firstLine="595"/>
        <w:spacing w:after="0" w:line="249" w:lineRule="auto"/>
        <w:rPr>
          <w:sz w:val="20"/>
          <w:szCs w:val="20"/>
          <w:color w:val="auto"/>
        </w:rPr>
      </w:pPr>
      <w:r>
        <w:rPr>
          <w:rFonts w:ascii="Arial" w:cs="Arial" w:eastAsia="Arial" w:hAnsi="Arial"/>
          <w:sz w:val="17"/>
          <w:szCs w:val="17"/>
          <w:color w:val="auto"/>
        </w:rPr>
        <w:t xml:space="preserve">Section 11.02 </w:t>
      </w:r>
      <w:r>
        <w:rPr>
          <w:rFonts w:ascii="Arial" w:cs="Arial" w:eastAsia="Arial" w:hAnsi="Arial"/>
          <w:sz w:val="17"/>
          <w:szCs w:val="17"/>
          <w:i w:val="1"/>
          <w:iCs w:val="1"/>
          <w:color w:val="auto"/>
        </w:rPr>
        <w:t>Provisions of Indenture for the Sole Benefit of Parties and Holders of Securities.</w:t>
      </w:r>
      <w:r>
        <w:rPr>
          <w:rFonts w:ascii="Arial" w:cs="Arial" w:eastAsia="Arial" w:hAnsi="Arial"/>
          <w:sz w:val="17"/>
          <w:szCs w:val="17"/>
          <w:color w:val="auto"/>
        </w:rPr>
        <w:t xml:space="preserve"> Nothing in this Indenture or in the Securities, expressed or implied, shall give or be construed to give to any person, firm or corporation, other than the parties hereto and their successors and the Holders of the Securities any legal or equitable right, remedy or claim under this Indenture or under any covenant or provision herein contained, all such covenants and provisions being for the sole benefit of the parties hereto and their successors and of the Holders of the Securities.</w:t>
      </w:r>
    </w:p>
    <w:p>
      <w:pPr>
        <w:spacing w:after="0" w:line="181" w:lineRule="exact"/>
        <w:rPr>
          <w:sz w:val="20"/>
          <w:szCs w:val="20"/>
          <w:color w:val="auto"/>
        </w:rPr>
      </w:pPr>
    </w:p>
    <w:p>
      <w:pPr>
        <w:ind w:right="20" w:firstLine="595"/>
        <w:spacing w:after="0" w:line="260" w:lineRule="auto"/>
        <w:rPr>
          <w:sz w:val="20"/>
          <w:szCs w:val="20"/>
          <w:color w:val="auto"/>
        </w:rPr>
      </w:pPr>
      <w:r>
        <w:rPr>
          <w:rFonts w:ascii="Arial" w:cs="Arial" w:eastAsia="Arial" w:hAnsi="Arial"/>
          <w:sz w:val="17"/>
          <w:szCs w:val="17"/>
          <w:color w:val="auto"/>
        </w:rPr>
        <w:t xml:space="preserve">Section 11.03 </w:t>
      </w:r>
      <w:r>
        <w:rPr>
          <w:rFonts w:ascii="Arial" w:cs="Arial" w:eastAsia="Arial" w:hAnsi="Arial"/>
          <w:sz w:val="17"/>
          <w:szCs w:val="17"/>
          <w:i w:val="1"/>
          <w:iCs w:val="1"/>
          <w:color w:val="auto"/>
        </w:rPr>
        <w:t>Successors and Assigns of Issuer Bound by Indenture.</w:t>
      </w:r>
      <w:r>
        <w:rPr>
          <w:rFonts w:ascii="Arial" w:cs="Arial" w:eastAsia="Arial" w:hAnsi="Arial"/>
          <w:sz w:val="17"/>
          <w:szCs w:val="17"/>
          <w:color w:val="auto"/>
        </w:rPr>
        <w:t xml:space="preserve"> All the covenants, stipulations, promises and agreements contained in this Indenture by or on behalf of the Issuer shall bind its successors and assigns, whether so expressed or not.</w:t>
      </w:r>
    </w:p>
    <w:p>
      <w:pPr>
        <w:spacing w:after="0" w:line="172" w:lineRule="exact"/>
        <w:rPr>
          <w:sz w:val="20"/>
          <w:szCs w:val="20"/>
          <w:color w:val="auto"/>
        </w:rPr>
      </w:pPr>
    </w:p>
    <w:p>
      <w:pPr>
        <w:ind w:right="20" w:firstLine="595"/>
        <w:spacing w:after="0" w:line="288" w:lineRule="auto"/>
        <w:rPr>
          <w:sz w:val="20"/>
          <w:szCs w:val="20"/>
          <w:color w:val="auto"/>
        </w:rPr>
      </w:pPr>
      <w:r>
        <w:rPr>
          <w:rFonts w:ascii="Arial" w:cs="Arial" w:eastAsia="Arial" w:hAnsi="Arial"/>
          <w:sz w:val="15"/>
          <w:szCs w:val="15"/>
          <w:color w:val="auto"/>
        </w:rPr>
        <w:t xml:space="preserve">Section 11.04 </w:t>
      </w:r>
      <w:r>
        <w:rPr>
          <w:rFonts w:ascii="Arial" w:cs="Arial" w:eastAsia="Arial" w:hAnsi="Arial"/>
          <w:sz w:val="15"/>
          <w:szCs w:val="15"/>
          <w:i w:val="1"/>
          <w:iCs w:val="1"/>
          <w:color w:val="auto"/>
        </w:rPr>
        <w:t>Notices and Demands on Issuer, Trustee and Holders of Securities.</w:t>
      </w:r>
      <w:r>
        <w:rPr>
          <w:rFonts w:ascii="Arial" w:cs="Arial" w:eastAsia="Arial" w:hAnsi="Arial"/>
          <w:sz w:val="15"/>
          <w:szCs w:val="15"/>
          <w:color w:val="auto"/>
        </w:rPr>
        <w:t xml:space="preserve"> Any notice or demand which by any provision of this Indenture is required or permitted to be given or served by the Trustee or by the Holders of Securities to or on the Issuer may be delivered, given or served by being deposited postage prepaid, first-class mail (except as otherwise specifically provided herein) addressed (until another address of the Issuer is filed by the Issuer with the Trustee) to IVERIC bio, Inc., Five Penn Plaza, Suite 2372, New York, NY 10001, Attn: Chief Financial Officer. Any notice, direction, request or demand by the Issuer or any Holder of Securities to or upon the Trustee shall be deemed to have been sufficiently given or made, for all purposes, if given or made at _______, ________, Attn: _______.</w:t>
      </w:r>
    </w:p>
    <w:p>
      <w:pPr>
        <w:spacing w:after="0" w:line="156" w:lineRule="exact"/>
        <w:rPr>
          <w:sz w:val="20"/>
          <w:szCs w:val="20"/>
          <w:color w:val="auto"/>
        </w:rPr>
      </w:pPr>
    </w:p>
    <w:p>
      <w:pPr>
        <w:ind w:firstLine="595"/>
        <w:spacing w:after="0" w:line="247" w:lineRule="auto"/>
        <w:rPr>
          <w:sz w:val="20"/>
          <w:szCs w:val="20"/>
          <w:color w:val="auto"/>
        </w:rPr>
      </w:pPr>
      <w:r>
        <w:rPr>
          <w:rFonts w:ascii="Arial" w:cs="Arial" w:eastAsia="Arial" w:hAnsi="Arial"/>
          <w:sz w:val="17"/>
          <w:szCs w:val="17"/>
          <w:color w:val="auto"/>
        </w:rPr>
        <w:t>Where this Indenture provides for notice to Holders of Securities, such notice shall be sufficiently given (unless otherwise herein expressly provided) if in writing and mailed, first-class postage prepaid, to each Holder entitled thereto, at his, her or its last address as it appears in the Security register. In case, by reason of the suspension of or irregularities in regular mail service, it shall be impracticable to mail notice of any event to Holders of Securities when said notice is required to be given pursuant to any provision of this Indenture or of the Securities, then any manner of giving such notice as shall be satisfactory to the Trustee shall be deemed to be a sufficient giving of such notice.</w:t>
      </w:r>
    </w:p>
    <w:p>
      <w:pPr>
        <w:spacing w:after="0" w:line="185" w:lineRule="exact"/>
        <w:rPr>
          <w:sz w:val="20"/>
          <w:szCs w:val="20"/>
          <w:color w:val="auto"/>
        </w:rPr>
      </w:pPr>
    </w:p>
    <w:p>
      <w:pPr>
        <w:ind w:right="100" w:firstLine="595"/>
        <w:spacing w:after="0" w:line="252" w:lineRule="auto"/>
        <w:rPr>
          <w:sz w:val="20"/>
          <w:szCs w:val="20"/>
          <w:color w:val="auto"/>
        </w:rPr>
      </w:pPr>
      <w:r>
        <w:rPr>
          <w:rFonts w:ascii="Arial" w:cs="Arial" w:eastAsia="Arial" w:hAnsi="Arial"/>
          <w:sz w:val="17"/>
          <w:szCs w:val="17"/>
          <w:color w:val="auto"/>
        </w:rPr>
        <w:t>In case, by reason of the suspension of or irregularities in regular mail service, it shall be impracticable to mail notice to the Issuer when such notice is required to be given pursuant to any provision of this Indenture, then any manner of giving such notice as shall be satisfactory to the Trustee shall be deemed to be a sufficient giving of such notice.</w:t>
      </w:r>
    </w:p>
    <w:p>
      <w:pPr>
        <w:spacing w:after="0" w:line="178" w:lineRule="exact"/>
        <w:rPr>
          <w:sz w:val="20"/>
          <w:szCs w:val="20"/>
          <w:color w:val="auto"/>
        </w:rPr>
      </w:pPr>
    </w:p>
    <w:p>
      <w:pPr>
        <w:jc w:val="both"/>
        <w:ind w:right="60"/>
        <w:spacing w:after="0" w:line="252" w:lineRule="auto"/>
        <w:rPr>
          <w:sz w:val="20"/>
          <w:szCs w:val="20"/>
          <w:color w:val="auto"/>
        </w:rPr>
      </w:pPr>
      <w:r>
        <w:rPr>
          <w:rFonts w:ascii="Arial" w:cs="Arial" w:eastAsia="Arial" w:hAnsi="Arial"/>
          <w:sz w:val="17"/>
          <w:szCs w:val="17"/>
          <w:color w:val="auto"/>
        </w:rPr>
        <w:t>Where this Indenture provides for notice of any event to a Holder of a Global Security, such notice shall be sufficiently given if given to the Depositary for such Security (or its designee), pursuant to the Applicable Procedures of the Depositary, not later than the latest date, if any, and not earlier than the earliest date, if any, prescribed for the giving of such notice.</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5">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94" w:name="page95"/>
    <w:bookmarkEnd w:id="94"/>
    <w:p>
      <w:pPr>
        <w:ind w:right="340" w:firstLine="595"/>
        <w:spacing w:after="0" w:line="260" w:lineRule="auto"/>
        <w:rPr>
          <w:sz w:val="20"/>
          <w:szCs w:val="20"/>
          <w:color w:val="auto"/>
        </w:rPr>
      </w:pPr>
      <w:r>
        <w:rPr>
          <w:rFonts w:ascii="Arial" w:cs="Arial" w:eastAsia="Arial" w:hAnsi="Arial"/>
          <w:sz w:val="17"/>
          <w:szCs w:val="17"/>
          <w:color w:val="auto"/>
        </w:rPr>
        <w:t>Neither the failure to give notice, nor any defect in any notice so given, to any particular Holder of a Security shall affect the sufficiency of such notice with respect to other Holders of Securities given as provided above.</w:t>
      </w:r>
    </w:p>
    <w:p>
      <w:pPr>
        <w:spacing w:after="0" w:line="172" w:lineRule="exact"/>
        <w:rPr>
          <w:sz w:val="20"/>
          <w:szCs w:val="20"/>
          <w:color w:val="auto"/>
        </w:rPr>
      </w:pPr>
    </w:p>
    <w:p>
      <w:pPr>
        <w:ind w:right="60" w:firstLine="595"/>
        <w:spacing w:after="0" w:line="252" w:lineRule="auto"/>
        <w:rPr>
          <w:sz w:val="20"/>
          <w:szCs w:val="20"/>
          <w:color w:val="auto"/>
        </w:rPr>
      </w:pPr>
      <w:r>
        <w:rPr>
          <w:rFonts w:ascii="Arial" w:cs="Arial" w:eastAsia="Arial" w:hAnsi="Arial"/>
          <w:sz w:val="17"/>
          <w:szCs w:val="17"/>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78" w:lineRule="exact"/>
        <w:rPr>
          <w:sz w:val="20"/>
          <w:szCs w:val="20"/>
          <w:color w:val="auto"/>
        </w:rPr>
      </w:pPr>
    </w:p>
    <w:p>
      <w:pPr>
        <w:ind w:right="60" w:firstLine="595"/>
        <w:spacing w:after="0" w:line="288" w:lineRule="auto"/>
        <w:rPr>
          <w:sz w:val="20"/>
          <w:szCs w:val="20"/>
          <w:color w:val="auto"/>
        </w:rPr>
      </w:pPr>
      <w:r>
        <w:rPr>
          <w:rFonts w:ascii="Arial" w:cs="Arial" w:eastAsia="Arial" w:hAnsi="Arial"/>
          <w:sz w:val="15"/>
          <w:szCs w:val="15"/>
          <w:color w:val="auto"/>
        </w:rPr>
        <w:t xml:space="preserve">Section 11.05 </w:t>
      </w:r>
      <w:r>
        <w:rPr>
          <w:rFonts w:ascii="Arial" w:cs="Arial" w:eastAsia="Arial" w:hAnsi="Arial"/>
          <w:sz w:val="15"/>
          <w:szCs w:val="15"/>
          <w:i w:val="1"/>
          <w:iCs w:val="1"/>
          <w:color w:val="auto"/>
        </w:rPr>
        <w:t>Officer’s Certificates and Opinions of Counsel; Statements to Be Contained Therein.</w:t>
      </w:r>
      <w:r>
        <w:rPr>
          <w:rFonts w:ascii="Arial" w:cs="Arial" w:eastAsia="Arial" w:hAnsi="Arial"/>
          <w:sz w:val="15"/>
          <w:szCs w:val="15"/>
          <w:color w:val="auto"/>
        </w:rPr>
        <w:t xml:space="preserve"> Upon any application or demand by the Issuer to the Trustee to take any action under any of the provisions of this Indenture, the Issuer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56" w:lineRule="exact"/>
        <w:rPr>
          <w:sz w:val="20"/>
          <w:szCs w:val="20"/>
          <w:color w:val="auto"/>
        </w:rPr>
      </w:pPr>
    </w:p>
    <w:p>
      <w:pPr>
        <w:ind w:firstLine="595"/>
        <w:spacing w:after="0" w:line="313" w:lineRule="auto"/>
        <w:rPr>
          <w:sz w:val="20"/>
          <w:szCs w:val="20"/>
          <w:color w:val="auto"/>
        </w:rPr>
      </w:pPr>
      <w:r>
        <w:rPr>
          <w:rFonts w:ascii="Arial" w:cs="Arial" w:eastAsia="Arial" w:hAnsi="Arial"/>
          <w:sz w:val="14"/>
          <w:szCs w:val="14"/>
          <w:color w:val="auto"/>
        </w:rPr>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or she has made such examination or investigation as is necessary to enable him or her to express an informed opinion as to whether or not such covenant or condition has been complied with and (d) a statement as to whether or not, in the opinion of such person, such condition or covenant has been complied with.</w:t>
      </w:r>
    </w:p>
    <w:p>
      <w:pPr>
        <w:spacing w:after="0" w:line="141" w:lineRule="exact"/>
        <w:rPr>
          <w:sz w:val="20"/>
          <w:szCs w:val="20"/>
          <w:color w:val="auto"/>
        </w:rPr>
      </w:pPr>
    </w:p>
    <w:p>
      <w:pPr>
        <w:ind w:firstLine="595"/>
        <w:spacing w:after="0" w:line="284" w:lineRule="auto"/>
        <w:rPr>
          <w:sz w:val="20"/>
          <w:szCs w:val="20"/>
          <w:color w:val="auto"/>
        </w:rPr>
      </w:pPr>
      <w:r>
        <w:rPr>
          <w:rFonts w:ascii="Arial" w:cs="Arial" w:eastAsia="Arial" w:hAnsi="Arial"/>
          <w:sz w:val="15"/>
          <w:szCs w:val="15"/>
          <w:color w:val="auto"/>
        </w:rPr>
        <w:t>Any certificate, statement or opinion of an officer of the Issuer may be based, insofar as it relates to legal matters, upon a certificate or opinion of or representations by counsel, unless such officer knows that the certificate or opinion or representations with respect to the matters upon which his or her certificate, statement or opinion may be based as aforesaid are erroneous, or in the exercise of reasonable care should know that the same are erroneous. Any certificate, statement or opinion of counsel may be based, insofar as it relates to factual matters, information with respect to which is in the possession of the Issuer, upon the certificate, statement or opinion of or representations by an officer or officers of the Issuer, unless such counsel knows that the certificate, statement or opinion or representations with respect to the matters upon which his or her certificate, statement or opinion may be based as aforesaid are erroneous, or in the exercise of reasonable care should know that the same are erroneous.</w:t>
      </w:r>
    </w:p>
    <w:p>
      <w:pPr>
        <w:spacing w:after="0" w:line="159" w:lineRule="exact"/>
        <w:rPr>
          <w:sz w:val="20"/>
          <w:szCs w:val="20"/>
          <w:color w:val="auto"/>
        </w:rPr>
      </w:pPr>
    </w:p>
    <w:p>
      <w:pPr>
        <w:jc w:val="both"/>
        <w:ind w:right="440" w:firstLine="595"/>
        <w:spacing w:after="0" w:line="293" w:lineRule="auto"/>
        <w:rPr>
          <w:sz w:val="20"/>
          <w:szCs w:val="20"/>
          <w:color w:val="auto"/>
        </w:rPr>
      </w:pPr>
      <w:r>
        <w:rPr>
          <w:rFonts w:ascii="Arial" w:cs="Arial" w:eastAsia="Arial" w:hAnsi="Arial"/>
          <w:sz w:val="15"/>
          <w:szCs w:val="15"/>
          <w:color w:val="auto"/>
        </w:rPr>
        <w:t>Any certificate, statement or opinion of an officer of the Issuer or of counsel may be based, insofar as it relates to accounting matters, upon a certificate or opinion of or representations by an accountant or firm of accountants in the employ of the Issuer, unless such officer or counsel, as the case may be, knows that the certificate or opinion or representations with respect to the accounting matters upon which his or her certificate, statement or opinion may be based as aforesaid are erroneous, or in the exercise of reasonable care should know that the same are erroneous.</w:t>
      </w:r>
    </w:p>
    <w:p>
      <w:pPr>
        <w:spacing w:after="0" w:line="150" w:lineRule="exact"/>
        <w:rPr>
          <w:sz w:val="20"/>
          <w:szCs w:val="20"/>
          <w:color w:val="auto"/>
        </w:rPr>
      </w:pPr>
    </w:p>
    <w:p>
      <w:pPr>
        <w:ind w:right="580" w:firstLine="595"/>
        <w:spacing w:after="0" w:line="260" w:lineRule="auto"/>
        <w:rPr>
          <w:sz w:val="20"/>
          <w:szCs w:val="20"/>
          <w:color w:val="auto"/>
        </w:rPr>
      </w:pPr>
      <w:r>
        <w:rPr>
          <w:rFonts w:ascii="Arial" w:cs="Arial" w:eastAsia="Arial" w:hAnsi="Arial"/>
          <w:sz w:val="17"/>
          <w:szCs w:val="17"/>
          <w:color w:val="auto"/>
        </w:rPr>
        <w:t>Any certificate or opinion of any independent firm of public accountants filed with and directed to the Trustee shall contain a statement that such firm is independent.</w:t>
      </w:r>
    </w:p>
    <w:p>
      <w:pPr>
        <w:spacing w:after="0" w:line="37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6">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95" w:name="page96"/>
    <w:bookmarkEnd w:id="95"/>
    <w:p>
      <w:pPr>
        <w:ind w:firstLine="595"/>
        <w:spacing w:after="0" w:line="293" w:lineRule="auto"/>
        <w:rPr>
          <w:sz w:val="20"/>
          <w:szCs w:val="20"/>
          <w:color w:val="auto"/>
        </w:rPr>
      </w:pPr>
      <w:r>
        <w:rPr>
          <w:rFonts w:ascii="Arial" w:cs="Arial" w:eastAsia="Arial" w:hAnsi="Arial"/>
          <w:sz w:val="15"/>
          <w:szCs w:val="15"/>
          <w:color w:val="auto"/>
        </w:rPr>
        <w:t xml:space="preserve">Section 11.06 </w:t>
      </w:r>
      <w:r>
        <w:rPr>
          <w:rFonts w:ascii="Arial" w:cs="Arial" w:eastAsia="Arial" w:hAnsi="Arial"/>
          <w:sz w:val="15"/>
          <w:szCs w:val="15"/>
          <w:i w:val="1"/>
          <w:iCs w:val="1"/>
          <w:color w:val="auto"/>
        </w:rPr>
        <w:t>Payments Due on Saturdays, Sundays and Holidays.</w:t>
      </w:r>
      <w:r>
        <w:rPr>
          <w:rFonts w:ascii="Arial" w:cs="Arial" w:eastAsia="Arial" w:hAnsi="Arial"/>
          <w:sz w:val="15"/>
          <w:szCs w:val="15"/>
          <w:color w:val="auto"/>
        </w:rPr>
        <w:t xml:space="preserve"> If the date of maturity of interest on or principal of the Securities of any series or the date fixed for redemption or repayment of any such Security, or the last day on which a Holder has the right to convert any Security, shall not be a Business Day, then payment of interest or principal, or any conversion, need not be made on such date, but may be made on the next succeeding Business Day with the same force and effect as if made on the date of maturity or the date fixed for redemption or on such last day for conversion, and no interest shall accrue for the period after such date.</w:t>
      </w:r>
    </w:p>
    <w:p>
      <w:pPr>
        <w:spacing w:after="0" w:line="150" w:lineRule="exact"/>
        <w:rPr>
          <w:sz w:val="20"/>
          <w:szCs w:val="20"/>
          <w:color w:val="auto"/>
        </w:rPr>
      </w:pPr>
    </w:p>
    <w:p>
      <w:pPr>
        <w:ind w:right="60" w:firstLine="595"/>
        <w:spacing w:after="0" w:line="252" w:lineRule="auto"/>
        <w:rPr>
          <w:sz w:val="20"/>
          <w:szCs w:val="20"/>
          <w:color w:val="auto"/>
        </w:rPr>
      </w:pPr>
      <w:r>
        <w:rPr>
          <w:rFonts w:ascii="Arial" w:cs="Arial" w:eastAsia="Arial" w:hAnsi="Arial"/>
          <w:sz w:val="17"/>
          <w:szCs w:val="17"/>
          <w:color w:val="auto"/>
        </w:rPr>
        <w:t xml:space="preserve">Section 11.07 </w:t>
      </w:r>
      <w:r>
        <w:rPr>
          <w:rFonts w:ascii="Arial" w:cs="Arial" w:eastAsia="Arial" w:hAnsi="Arial"/>
          <w:sz w:val="17"/>
          <w:szCs w:val="17"/>
          <w:i w:val="1"/>
          <w:iCs w:val="1"/>
          <w:color w:val="auto"/>
        </w:rPr>
        <w:t>Conflict of Any Provision of Indenture With Trust Indenture Act of 1939.</w:t>
      </w:r>
      <w:r>
        <w:rPr>
          <w:rFonts w:ascii="Arial" w:cs="Arial" w:eastAsia="Arial" w:hAnsi="Arial"/>
          <w:sz w:val="17"/>
          <w:szCs w:val="17"/>
          <w:color w:val="auto"/>
        </w:rPr>
        <w:t xml:space="preserve"> If and to the extent that any provision of this Indenture limits, qualifies or conflicts with another provision included in this Indenture by operation of Sections 310 to 317, inclusive, of the Trust Indenture Act of 1939, such incorporated provision shall control.</w:t>
      </w:r>
    </w:p>
    <w:p>
      <w:pPr>
        <w:spacing w:after="0" w:line="178" w:lineRule="exact"/>
        <w:rPr>
          <w:sz w:val="20"/>
          <w:szCs w:val="20"/>
          <w:color w:val="auto"/>
        </w:rPr>
      </w:pPr>
    </w:p>
    <w:p>
      <w:pPr>
        <w:jc w:val="both"/>
        <w:ind w:firstLine="595"/>
        <w:spacing w:after="0" w:line="301" w:lineRule="auto"/>
        <w:rPr>
          <w:sz w:val="20"/>
          <w:szCs w:val="20"/>
          <w:color w:val="auto"/>
        </w:rPr>
      </w:pPr>
      <w:r>
        <w:rPr>
          <w:rFonts w:ascii="Arial" w:cs="Arial" w:eastAsia="Arial" w:hAnsi="Arial"/>
          <w:sz w:val="15"/>
          <w:szCs w:val="15"/>
          <w:color w:val="auto"/>
        </w:rPr>
        <w:t xml:space="preserve">Section 11.08 </w:t>
      </w:r>
      <w:r>
        <w:rPr>
          <w:rFonts w:ascii="Arial" w:cs="Arial" w:eastAsia="Arial" w:hAnsi="Arial"/>
          <w:sz w:val="15"/>
          <w:szCs w:val="15"/>
          <w:i w:val="1"/>
          <w:iCs w:val="1"/>
          <w:color w:val="auto"/>
        </w:rPr>
        <w:t>New York Law to Govern.</w:t>
      </w:r>
      <w:r>
        <w:rPr>
          <w:rFonts w:ascii="Arial" w:cs="Arial" w:eastAsia="Arial" w:hAnsi="Arial"/>
          <w:sz w:val="15"/>
          <w:szCs w:val="15"/>
          <w:color w:val="auto"/>
        </w:rPr>
        <w:t xml:space="preserve"> This Indenture and each Security shall be deemed to be a contract under the laws of the State of New York, and for all purposes shall be governed by and construed in accordance with the laws of such State without regard to any principle of conflict of laws that would require or permit the application of the laws of any other jurisdiction, except as may otherwise be required by mandatory provisions of law.</w:t>
      </w:r>
    </w:p>
    <w:p>
      <w:pPr>
        <w:spacing w:after="0" w:line="145" w:lineRule="exact"/>
        <w:rPr>
          <w:sz w:val="20"/>
          <w:szCs w:val="20"/>
          <w:color w:val="auto"/>
        </w:rPr>
      </w:pPr>
    </w:p>
    <w:p>
      <w:pPr>
        <w:ind w:right="280" w:firstLine="595"/>
        <w:spacing w:after="0" w:line="260" w:lineRule="auto"/>
        <w:rPr>
          <w:sz w:val="20"/>
          <w:szCs w:val="20"/>
          <w:color w:val="auto"/>
        </w:rPr>
      </w:pPr>
      <w:r>
        <w:rPr>
          <w:rFonts w:ascii="Arial" w:cs="Arial" w:eastAsia="Arial" w:hAnsi="Arial"/>
          <w:sz w:val="17"/>
          <w:szCs w:val="17"/>
          <w:color w:val="auto"/>
        </w:rPr>
        <w:t xml:space="preserve">Section 11.09 </w:t>
      </w:r>
      <w:r>
        <w:rPr>
          <w:rFonts w:ascii="Arial" w:cs="Arial" w:eastAsia="Arial" w:hAnsi="Arial"/>
          <w:sz w:val="17"/>
          <w:szCs w:val="17"/>
          <w:i w:val="1"/>
          <w:iCs w:val="1"/>
          <w:color w:val="auto"/>
        </w:rPr>
        <w:t>Counterparts.</w:t>
      </w:r>
      <w:r>
        <w:rPr>
          <w:rFonts w:ascii="Arial" w:cs="Arial" w:eastAsia="Arial" w:hAnsi="Arial"/>
          <w:sz w:val="17"/>
          <w:szCs w:val="17"/>
          <w:color w:val="auto"/>
        </w:rPr>
        <w:t xml:space="preserve"> This Indenture may be executed in any number of counterparts, each of which shall be an original; but such counterparts shall together constitute but one and the same instrument.</w:t>
      </w:r>
    </w:p>
    <w:p>
      <w:pPr>
        <w:spacing w:after="0" w:line="172" w:lineRule="exact"/>
        <w:rPr>
          <w:sz w:val="20"/>
          <w:szCs w:val="20"/>
          <w:color w:val="auto"/>
        </w:rPr>
      </w:pPr>
    </w:p>
    <w:p>
      <w:pPr>
        <w:ind w:right="620" w:firstLine="595"/>
        <w:spacing w:after="0" w:line="260" w:lineRule="auto"/>
        <w:rPr>
          <w:sz w:val="20"/>
          <w:szCs w:val="20"/>
          <w:color w:val="auto"/>
        </w:rPr>
      </w:pPr>
      <w:r>
        <w:rPr>
          <w:rFonts w:ascii="Arial" w:cs="Arial" w:eastAsia="Arial" w:hAnsi="Arial"/>
          <w:sz w:val="17"/>
          <w:szCs w:val="17"/>
          <w:color w:val="auto"/>
        </w:rPr>
        <w:t xml:space="preserve">Section 11.10 </w:t>
      </w:r>
      <w:r>
        <w:rPr>
          <w:rFonts w:ascii="Arial" w:cs="Arial" w:eastAsia="Arial" w:hAnsi="Arial"/>
          <w:sz w:val="17"/>
          <w:szCs w:val="17"/>
          <w:i w:val="1"/>
          <w:iCs w:val="1"/>
          <w:color w:val="auto"/>
        </w:rPr>
        <w:t>Effect of Headings.</w:t>
      </w:r>
      <w:r>
        <w:rPr>
          <w:rFonts w:ascii="Arial" w:cs="Arial" w:eastAsia="Arial" w:hAnsi="Arial"/>
          <w:sz w:val="17"/>
          <w:szCs w:val="17"/>
          <w:color w:val="auto"/>
        </w:rPr>
        <w:t xml:space="preserve"> The Article and Section headings herein and the Table of Contents are for convenience only and shall not affect the construction hereof.</w:t>
      </w:r>
    </w:p>
    <w:p>
      <w:pPr>
        <w:spacing w:after="0" w:line="172" w:lineRule="exact"/>
        <w:rPr>
          <w:sz w:val="20"/>
          <w:szCs w:val="20"/>
          <w:color w:val="auto"/>
        </w:rPr>
      </w:pPr>
    </w:p>
    <w:p>
      <w:pPr>
        <w:ind w:right="100" w:firstLine="595"/>
        <w:spacing w:after="0" w:line="252" w:lineRule="auto"/>
        <w:rPr>
          <w:sz w:val="20"/>
          <w:szCs w:val="20"/>
          <w:color w:val="auto"/>
        </w:rPr>
      </w:pPr>
      <w:r>
        <w:rPr>
          <w:rFonts w:ascii="Arial" w:cs="Arial" w:eastAsia="Arial" w:hAnsi="Arial"/>
          <w:sz w:val="17"/>
          <w:szCs w:val="17"/>
          <w:color w:val="auto"/>
        </w:rPr>
        <w:t xml:space="preserve">Section 11.11 </w:t>
      </w:r>
      <w:r>
        <w:rPr>
          <w:rFonts w:ascii="Arial" w:cs="Arial" w:eastAsia="Arial" w:hAnsi="Arial"/>
          <w:sz w:val="17"/>
          <w:szCs w:val="17"/>
          <w:i w:val="1"/>
          <w:iCs w:val="1"/>
          <w:color w:val="auto"/>
        </w:rPr>
        <w:t>Actions by Successor</w:t>
      </w:r>
      <w:r>
        <w:rPr>
          <w:rFonts w:ascii="Arial" w:cs="Arial" w:eastAsia="Arial" w:hAnsi="Arial"/>
          <w:sz w:val="17"/>
          <w:szCs w:val="17"/>
          <w:color w:val="auto"/>
        </w:rPr>
        <w:t>. Any act or proceeding by any provision of this Indenture authorized or required to be done or performed by any board of directors or its equivalent, committee or officer of the Issuer shall and may be done and performed with like force and effect by the corresponding board, committee or officer of any corporation that shall at the time be the lawful successor of the Issuer.</w:t>
      </w:r>
    </w:p>
    <w:p>
      <w:pPr>
        <w:spacing w:after="0" w:line="178" w:lineRule="exact"/>
        <w:rPr>
          <w:sz w:val="20"/>
          <w:szCs w:val="20"/>
          <w:color w:val="auto"/>
        </w:rPr>
      </w:pPr>
    </w:p>
    <w:p>
      <w:pPr>
        <w:ind w:right="120" w:firstLine="595"/>
        <w:spacing w:after="0" w:line="301" w:lineRule="auto"/>
        <w:rPr>
          <w:sz w:val="20"/>
          <w:szCs w:val="20"/>
          <w:color w:val="auto"/>
        </w:rPr>
      </w:pPr>
      <w:r>
        <w:rPr>
          <w:rFonts w:ascii="Arial" w:cs="Arial" w:eastAsia="Arial" w:hAnsi="Arial"/>
          <w:sz w:val="15"/>
          <w:szCs w:val="15"/>
          <w:color w:val="auto"/>
        </w:rPr>
        <w:t xml:space="preserve">Section 11.12 </w:t>
      </w:r>
      <w:r>
        <w:rPr>
          <w:rFonts w:ascii="Arial" w:cs="Arial" w:eastAsia="Arial" w:hAnsi="Arial"/>
          <w:sz w:val="15"/>
          <w:szCs w:val="15"/>
          <w:i w:val="1"/>
          <w:iCs w:val="1"/>
          <w:color w:val="auto"/>
        </w:rPr>
        <w:t>Severability</w:t>
      </w:r>
      <w:r>
        <w:rPr>
          <w:rFonts w:ascii="Arial" w:cs="Arial" w:eastAsia="Arial" w:hAnsi="Arial"/>
          <w:sz w:val="15"/>
          <w:szCs w:val="15"/>
          <w:color w:val="auto"/>
        </w:rPr>
        <w:t>. 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7">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20"/>
          </w:cols>
          <w:pgMar w:left="320" w:top="846" w:right="35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7"/>
          <w:szCs w:val="17"/>
          <w:color w:val="auto"/>
        </w:rPr>
        <w:t>ARTICLE 12</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REDEMPTION OF SECURITIES AND SINKING FUNDS</w:t>
      </w:r>
    </w:p>
    <w:p>
      <w:pPr>
        <w:spacing w:after="0" w:line="191" w:lineRule="exact"/>
        <w:rPr>
          <w:sz w:val="20"/>
          <w:szCs w:val="20"/>
          <w:color w:val="auto"/>
        </w:rPr>
      </w:pPr>
    </w:p>
    <w:p>
      <w:pPr>
        <w:ind w:right="240" w:firstLine="595"/>
        <w:spacing w:after="0" w:line="367" w:lineRule="auto"/>
        <w:rPr>
          <w:sz w:val="20"/>
          <w:szCs w:val="20"/>
          <w:color w:val="auto"/>
        </w:rPr>
      </w:pPr>
      <w:r>
        <w:rPr>
          <w:rFonts w:ascii="Arial" w:cs="Arial" w:eastAsia="Arial" w:hAnsi="Arial"/>
          <w:sz w:val="14"/>
          <w:szCs w:val="14"/>
          <w:color w:val="auto"/>
        </w:rPr>
        <w:t xml:space="preserve">Section 12.01 </w:t>
      </w:r>
      <w:r>
        <w:rPr>
          <w:rFonts w:ascii="Arial" w:cs="Arial" w:eastAsia="Arial" w:hAnsi="Arial"/>
          <w:sz w:val="14"/>
          <w:szCs w:val="14"/>
          <w:i w:val="1"/>
          <w:iCs w:val="1"/>
          <w:color w:val="auto"/>
        </w:rPr>
        <w:t>Applicability of Article.</w:t>
      </w:r>
      <w:r>
        <w:rPr>
          <w:rFonts w:ascii="Arial" w:cs="Arial" w:eastAsia="Arial" w:hAnsi="Arial"/>
          <w:sz w:val="14"/>
          <w:szCs w:val="14"/>
          <w:color w:val="auto"/>
        </w:rPr>
        <w:t xml:space="preserve"> The provisions of this Article shall be applicable to the Securities of any series which are redeemable before their maturity or to any sinking fund for the retirement of Securities of a series, except as otherwise specified, as contemplated by Section 2.03 for Securities of such series.</w:t>
      </w:r>
    </w:p>
    <w:p>
      <w:pPr>
        <w:spacing w:after="0" w:line="103" w:lineRule="exact"/>
        <w:rPr>
          <w:sz w:val="20"/>
          <w:szCs w:val="20"/>
          <w:color w:val="auto"/>
        </w:rPr>
      </w:pPr>
    </w:p>
    <w:p>
      <w:pPr>
        <w:ind w:right="20" w:firstLine="595"/>
        <w:spacing w:after="0" w:line="288" w:lineRule="auto"/>
        <w:rPr>
          <w:sz w:val="20"/>
          <w:szCs w:val="20"/>
          <w:color w:val="auto"/>
        </w:rPr>
      </w:pPr>
      <w:r>
        <w:rPr>
          <w:rFonts w:ascii="Arial" w:cs="Arial" w:eastAsia="Arial" w:hAnsi="Arial"/>
          <w:sz w:val="15"/>
          <w:szCs w:val="15"/>
          <w:color w:val="auto"/>
        </w:rPr>
        <w:t xml:space="preserve">Section 12.02 </w:t>
      </w:r>
      <w:r>
        <w:rPr>
          <w:rFonts w:ascii="Arial" w:cs="Arial" w:eastAsia="Arial" w:hAnsi="Arial"/>
          <w:sz w:val="15"/>
          <w:szCs w:val="15"/>
          <w:i w:val="1"/>
          <w:iCs w:val="1"/>
          <w:color w:val="auto"/>
        </w:rPr>
        <w:t>Notice of Redemption; Partial Redemptions.</w:t>
      </w:r>
      <w:r>
        <w:rPr>
          <w:rFonts w:ascii="Arial" w:cs="Arial" w:eastAsia="Arial" w:hAnsi="Arial"/>
          <w:sz w:val="15"/>
          <w:szCs w:val="15"/>
          <w:color w:val="auto"/>
        </w:rPr>
        <w:t xml:space="preserve"> Notice of redemption to the Holders of Securities of any series to be redeemed as a whole or in part at the option of the Issuer shall be given by providing notice of such redemption at least 10 days and not more than 60 days prior to the date fixed for redemption to such Holders of Securities of such series at their last addresses as they shall appear upon the Security register. Any notice which is given in the manner herein provided shall be conclusively presumed to have been duly given, whether or not the Holder receives the notice. Failure to give notice or any defect in the notice to the Holder of any Security of a series designated for redemption as a whole or in part shall not affect the validity of the proceedings for the redemption of any other Security of such series.</w:t>
      </w:r>
    </w:p>
    <w:p>
      <w:pPr>
        <w:spacing w:after="0" w:line="156" w:lineRule="exact"/>
        <w:rPr>
          <w:sz w:val="20"/>
          <w:szCs w:val="20"/>
          <w:color w:val="auto"/>
        </w:rPr>
      </w:pPr>
    </w:p>
    <w:p>
      <w:pPr>
        <w:ind w:right="80" w:firstLine="595"/>
        <w:spacing w:after="0" w:line="283" w:lineRule="auto"/>
        <w:rPr>
          <w:sz w:val="20"/>
          <w:szCs w:val="20"/>
          <w:color w:val="auto"/>
        </w:rPr>
      </w:pPr>
      <w:r>
        <w:rPr>
          <w:rFonts w:ascii="Arial" w:cs="Arial" w:eastAsia="Arial" w:hAnsi="Arial"/>
          <w:sz w:val="15"/>
          <w:szCs w:val="15"/>
          <w:color w:val="auto"/>
        </w:rPr>
        <w:t>The notice of redemption to each such Holder shall specify the principal amount of each Security of such series held by such Holder to be redeemed, the date fixed for redemption, the redemption price,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and shall also specify, if applicable, the conversion price then in effect and the date on which the right to convert such Securities or the portions thereof to be redeemed will expire. In case any Security of a series is to be redeemed in part only, the notice of redemption shall state the portion of the principal amount thereof to be redeemed and shall state that on and after the date fixed for redemption, upon surrender of such Security, a new Security or Securities of such series in principal amount equal to the unredeemed portion thereof will be issued.</w:t>
      </w:r>
    </w:p>
    <w:p>
      <w:pPr>
        <w:spacing w:after="0" w:line="159" w:lineRule="exact"/>
        <w:rPr>
          <w:sz w:val="20"/>
          <w:szCs w:val="20"/>
          <w:color w:val="auto"/>
        </w:rPr>
      </w:pPr>
    </w:p>
    <w:p>
      <w:pPr>
        <w:ind w:right="420" w:firstLine="595"/>
        <w:spacing w:after="0" w:line="260" w:lineRule="auto"/>
        <w:rPr>
          <w:sz w:val="20"/>
          <w:szCs w:val="20"/>
          <w:color w:val="auto"/>
        </w:rPr>
      </w:pPr>
      <w:r>
        <w:rPr>
          <w:rFonts w:ascii="Arial" w:cs="Arial" w:eastAsia="Arial" w:hAnsi="Arial"/>
          <w:sz w:val="17"/>
          <w:szCs w:val="17"/>
          <w:color w:val="auto"/>
        </w:rPr>
        <w:t>The notice of redemption of Securities of any series to be redeemed at the option of the Issuer shall be given by the Issuer or, at the Issuer’s request, by the Trustee in the name and at the expense of the Issuer.</w:t>
      </w:r>
    </w:p>
    <w:p>
      <w:pPr>
        <w:spacing w:after="0" w:line="172" w:lineRule="exact"/>
        <w:rPr>
          <w:sz w:val="20"/>
          <w:szCs w:val="20"/>
          <w:color w:val="auto"/>
        </w:rPr>
      </w:pPr>
    </w:p>
    <w:p>
      <w:pPr>
        <w:ind w:firstLine="595"/>
        <w:spacing w:after="0" w:line="281" w:lineRule="auto"/>
        <w:rPr>
          <w:sz w:val="20"/>
          <w:szCs w:val="20"/>
          <w:color w:val="auto"/>
        </w:rPr>
      </w:pPr>
      <w:r>
        <w:rPr>
          <w:rFonts w:ascii="Arial" w:cs="Arial" w:eastAsia="Arial" w:hAnsi="Arial"/>
          <w:sz w:val="15"/>
          <w:szCs w:val="15"/>
          <w:color w:val="auto"/>
        </w:rPr>
        <w:t>On or before the redemption date specified in the notice of redemption given as provided in this Section, the Issuer will deposit with the Trustee or with one or more paying agents (or, if the Issuer is acting as its own paying agent, set aside, segregate and hold in trust as provided in Section 3.04) an amount of money sufficient to redeem on the redemption date all the Securities of such series so called for redemption (other than those Securities theretofore surrendered for conversion into Common Stock in accordance with their terms) at the appropriate redemption price, together with accrued interest to the date fixed for redemption. If any Security called for redemption is converted pursuant hereto and in accordance with the terms thereof, any money deposited with the Trustee or any paying agent or so segregated and held in trust for the redemption of such Security shall be paid to the Issuer upon the Issuer’s request, or, if then held by the Issuer, shall be discharged from such trust. The Issuer will deliver to the Trustee at least 10 days prior to the date the notice required to be delivered to the Holders is to be sent (unless a shorter time period shall be acceptable to the Trustee) an Officer’s Certificate (which need not comply with Section 11.05) stating the aggregate principal amount of Securities to be redeemed. In case of a redemption at the election of the Issuer prior to the expiration of any restriction on such redemption, the Issuer shall deliver to the Trustee, prior to the giving of any notice of redemption to Holders pursuant to this Section, an Officer’s Certificate stating that such restriction has been complied with.</w:t>
      </w:r>
    </w:p>
    <w:p>
      <w:pPr>
        <w:spacing w:after="0" w:line="36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8">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97" w:name="page98"/>
    <w:bookmarkEnd w:id="97"/>
    <w:p>
      <w:pPr>
        <w:ind w:firstLine="595"/>
        <w:spacing w:after="0" w:line="284" w:lineRule="auto"/>
        <w:rPr>
          <w:sz w:val="20"/>
          <w:szCs w:val="20"/>
          <w:color w:val="auto"/>
        </w:rPr>
      </w:pPr>
      <w:r>
        <w:rPr>
          <w:rFonts w:ascii="Arial" w:cs="Arial" w:eastAsia="Arial" w:hAnsi="Arial"/>
          <w:sz w:val="15"/>
          <w:szCs w:val="15"/>
          <w:color w:val="auto"/>
        </w:rPr>
        <w:t>If less than all the Securities of a series are to be redeemed, the Trustee shall select, in such manner as it shall deem appropriate and fair, Securities of such series to be redeemed in whole or in part. Securities may be redeemed in part in multiples equal to the minimum authorized denomination for Securities of such series or any multiple thereof. The Trustee shall promptly notify the Issuer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of any series shall relate, in the case of any Security redeemed or to be redeemed only in part, to the portion of the principal amount of such Security which has been or is to be redeemed. If any Security selected for partial redemption is surrendered for conversion after such selection, the converted portion of such Security shall be deemed (so far as may be possible) to be the portion selected for redemption.</w:t>
      </w:r>
    </w:p>
    <w:p>
      <w:pPr>
        <w:spacing w:after="0" w:line="159" w:lineRule="exact"/>
        <w:rPr>
          <w:sz w:val="20"/>
          <w:szCs w:val="20"/>
          <w:color w:val="auto"/>
        </w:rPr>
      </w:pPr>
    </w:p>
    <w:p>
      <w:pPr>
        <w:ind w:right="20" w:firstLine="595"/>
        <w:spacing w:after="0" w:line="281" w:lineRule="auto"/>
        <w:rPr>
          <w:sz w:val="20"/>
          <w:szCs w:val="20"/>
          <w:color w:val="auto"/>
        </w:rPr>
      </w:pPr>
      <w:r>
        <w:rPr>
          <w:rFonts w:ascii="Arial" w:cs="Arial" w:eastAsia="Arial" w:hAnsi="Arial"/>
          <w:sz w:val="15"/>
          <w:szCs w:val="15"/>
          <w:color w:val="auto"/>
        </w:rPr>
        <w:t xml:space="preserve">Section 12.03 </w:t>
      </w:r>
      <w:r>
        <w:rPr>
          <w:rFonts w:ascii="Arial" w:cs="Arial" w:eastAsia="Arial" w:hAnsi="Arial"/>
          <w:sz w:val="15"/>
          <w:szCs w:val="15"/>
          <w:i w:val="1"/>
          <w:iCs w:val="1"/>
          <w:color w:val="auto"/>
        </w:rPr>
        <w:t>Payment of Securities Called for Redemption.</w:t>
      </w:r>
      <w:r>
        <w:rPr>
          <w:rFonts w:ascii="Arial" w:cs="Arial" w:eastAsia="Arial" w:hAnsi="Arial"/>
          <w:sz w:val="15"/>
          <w:szCs w:val="15"/>
          <w:color w:val="auto"/>
        </w:rPr>
        <w:t xml:space="preserve">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said date (unless the Issuer shall default in the payment of such Securities at the redemption price, together with interest accrued to said date) interest on the Securities or portions of Securities so called for redemption shall cease to accrue, and such Securities shall cease from and after the date fixed for redemption to be convertible into Common Stock (to the extent otherwise convertible in accordance with their terms), if applicable, and cease to be entitled to any benefit or security under this Indenture, and except as provided in the paragraph below, the Holders thereof shall have no right in respect of such Securities 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Issuer at the applicable redemption price, together with interest accrued thereon to the date fixed for redemption; </w:t>
      </w:r>
      <w:r>
        <w:rPr>
          <w:rFonts w:ascii="Arial" w:cs="Arial" w:eastAsia="Arial" w:hAnsi="Arial"/>
          <w:sz w:val="15"/>
          <w:szCs w:val="15"/>
          <w:i w:val="1"/>
          <w:iCs w:val="1"/>
          <w:color w:val="auto"/>
        </w:rPr>
        <w:t>provided</w:t>
      </w:r>
      <w:r>
        <w:rPr>
          <w:rFonts w:ascii="Arial" w:cs="Arial" w:eastAsia="Arial" w:hAnsi="Arial"/>
          <w:sz w:val="15"/>
          <w:szCs w:val="15"/>
          <w:color w:val="auto"/>
        </w:rPr>
        <w:t>, that payment of interest becoming due on or prior to the date fixed for redemption shall be payable to the Holders of such Securities registered as such on the relevant record date subject to the terms and provisions of Sections 2.03 and 2.07 hereof.</w:t>
      </w:r>
    </w:p>
    <w:p>
      <w:pPr>
        <w:spacing w:after="0" w:line="163" w:lineRule="exact"/>
        <w:rPr>
          <w:sz w:val="20"/>
          <w:szCs w:val="20"/>
          <w:color w:val="auto"/>
        </w:rPr>
      </w:pPr>
    </w:p>
    <w:p>
      <w:pPr>
        <w:ind w:right="60" w:firstLine="595"/>
        <w:spacing w:after="0" w:line="301" w:lineRule="auto"/>
        <w:rPr>
          <w:sz w:val="20"/>
          <w:szCs w:val="20"/>
          <w:color w:val="auto"/>
        </w:rPr>
      </w:pPr>
      <w:r>
        <w:rPr>
          <w:rFonts w:ascii="Arial" w:cs="Arial" w:eastAsia="Arial" w:hAnsi="Arial"/>
          <w:sz w:val="15"/>
          <w:szCs w:val="15"/>
          <w:color w:val="auto"/>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such Security and, if applicable, such Security shall remain convertible into Common Stock until the principal of such Security shall have been paid or duly provided for.</w:t>
      </w:r>
    </w:p>
    <w:p>
      <w:pPr>
        <w:spacing w:after="0" w:line="34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9">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98" w:name="page99"/>
    <w:bookmarkEnd w:id="98"/>
    <w:p>
      <w:pPr>
        <w:jc w:val="both"/>
        <w:ind w:right="60" w:firstLine="595"/>
        <w:spacing w:after="0" w:line="252" w:lineRule="auto"/>
        <w:rPr>
          <w:sz w:val="20"/>
          <w:szCs w:val="20"/>
          <w:color w:val="auto"/>
        </w:rPr>
      </w:pPr>
      <w:r>
        <w:rPr>
          <w:rFonts w:ascii="Arial" w:cs="Arial" w:eastAsia="Arial" w:hAnsi="Arial"/>
          <w:sz w:val="17"/>
          <w:szCs w:val="17"/>
          <w:color w:val="auto"/>
        </w:rPr>
        <w:t>Upon presentation of any Security redeemed in part only, the Issuer shall execute and the Trustee shall authenticate and deliver to or on the order of the Holder thereof, at the expense of the Issuer, a new Security or Securities of such series, of authorized denominations, in principal amount equal to the unredeemed portion of the Security so presented.</w:t>
      </w:r>
    </w:p>
    <w:p>
      <w:pPr>
        <w:spacing w:after="0" w:line="178" w:lineRule="exact"/>
        <w:rPr>
          <w:sz w:val="20"/>
          <w:szCs w:val="20"/>
          <w:color w:val="auto"/>
        </w:rPr>
      </w:pPr>
    </w:p>
    <w:p>
      <w:pPr>
        <w:ind w:right="160" w:firstLine="595"/>
        <w:spacing w:after="0" w:line="293" w:lineRule="auto"/>
        <w:rPr>
          <w:sz w:val="20"/>
          <w:szCs w:val="20"/>
          <w:color w:val="auto"/>
        </w:rPr>
      </w:pPr>
      <w:r>
        <w:rPr>
          <w:rFonts w:ascii="Arial" w:cs="Arial" w:eastAsia="Arial" w:hAnsi="Arial"/>
          <w:sz w:val="15"/>
          <w:szCs w:val="15"/>
          <w:color w:val="auto"/>
        </w:rPr>
        <w:t xml:space="preserve">Section 12.04 </w:t>
      </w:r>
      <w:r>
        <w:rPr>
          <w:rFonts w:ascii="Arial" w:cs="Arial" w:eastAsia="Arial" w:hAnsi="Arial"/>
          <w:sz w:val="15"/>
          <w:szCs w:val="15"/>
          <w:i w:val="1"/>
          <w:iCs w:val="1"/>
          <w:color w:val="auto"/>
        </w:rPr>
        <w:t>Exclusion of Certain Securities from Eligibility for Selection for Redemption.</w:t>
      </w:r>
      <w:r>
        <w:rPr>
          <w:rFonts w:ascii="Arial" w:cs="Arial" w:eastAsia="Arial" w:hAnsi="Arial"/>
          <w:sz w:val="15"/>
          <w:szCs w:val="15"/>
          <w:color w:val="auto"/>
        </w:rPr>
        <w:t xml:space="preserve"> Securities shall be excluded from eligibility for selection for redemption if they are identified by registration and certificate number in an Officer’s Certificate delivered to the Trustee at least 40 days prior to the last date on which notice of redemption may be given as being owned of record and beneficially by, and not pledged or hypothecated by either (a) the Issuer or (b) an entity specifically identified in such written statement as directly or indirectly controlling or controlled by or under direct or indirect common control with the Issuer.</w:t>
      </w:r>
    </w:p>
    <w:p>
      <w:pPr>
        <w:spacing w:after="0" w:line="150" w:lineRule="exact"/>
        <w:rPr>
          <w:sz w:val="20"/>
          <w:szCs w:val="20"/>
          <w:color w:val="auto"/>
        </w:rPr>
      </w:pPr>
    </w:p>
    <w:p>
      <w:pPr>
        <w:ind w:right="60" w:firstLine="595"/>
        <w:spacing w:after="0" w:line="249" w:lineRule="auto"/>
        <w:rPr>
          <w:sz w:val="20"/>
          <w:szCs w:val="20"/>
          <w:color w:val="auto"/>
        </w:rPr>
      </w:pPr>
      <w:r>
        <w:rPr>
          <w:rFonts w:ascii="Arial" w:cs="Arial" w:eastAsia="Arial" w:hAnsi="Arial"/>
          <w:sz w:val="17"/>
          <w:szCs w:val="17"/>
          <w:color w:val="auto"/>
        </w:rPr>
        <w:t xml:space="preserve">Section 12.05 </w:t>
      </w:r>
      <w:r>
        <w:rPr>
          <w:rFonts w:ascii="Arial" w:cs="Arial" w:eastAsia="Arial" w:hAnsi="Arial"/>
          <w:sz w:val="17"/>
          <w:szCs w:val="17"/>
          <w:i w:val="1"/>
          <w:iCs w:val="1"/>
          <w:color w:val="auto"/>
        </w:rPr>
        <w:t>Mandatory and Optional Sinking Funds.</w:t>
      </w:r>
      <w:r>
        <w:rPr>
          <w:rFonts w:ascii="Arial" w:cs="Arial" w:eastAsia="Arial" w:hAnsi="Arial"/>
          <w:sz w:val="17"/>
          <w:szCs w:val="17"/>
          <w:color w:val="auto"/>
        </w:rPr>
        <w:t xml:space="preserve"> The minimum amount of any sinking fund payment provided for by the terms of the Securities of any series is herein referred to as a “</w:t>
      </w:r>
      <w:r>
        <w:rPr>
          <w:rFonts w:ascii="Arial" w:cs="Arial" w:eastAsia="Arial" w:hAnsi="Arial"/>
          <w:sz w:val="17"/>
          <w:szCs w:val="17"/>
          <w:b w:val="1"/>
          <w:bCs w:val="1"/>
          <w:color w:val="auto"/>
        </w:rPr>
        <w:t>mandatory sinking fund payment</w:t>
      </w:r>
      <w:r>
        <w:rPr>
          <w:rFonts w:ascii="Arial" w:cs="Arial" w:eastAsia="Arial" w:hAnsi="Arial"/>
          <w:sz w:val="17"/>
          <w:szCs w:val="17"/>
          <w:color w:val="auto"/>
        </w:rPr>
        <w:t>”, and any payment in excess of such minimum amount provided for by the terms of the Securities of any series is herein referred to as an “</w:t>
      </w:r>
      <w:r>
        <w:rPr>
          <w:rFonts w:ascii="Arial" w:cs="Arial" w:eastAsia="Arial" w:hAnsi="Arial"/>
          <w:sz w:val="17"/>
          <w:szCs w:val="17"/>
          <w:b w:val="1"/>
          <w:bCs w:val="1"/>
          <w:color w:val="auto"/>
        </w:rPr>
        <w:t>optional sinking fund payment</w:t>
      </w:r>
      <w:r>
        <w:rPr>
          <w:rFonts w:ascii="Arial" w:cs="Arial" w:eastAsia="Arial" w:hAnsi="Arial"/>
          <w:sz w:val="17"/>
          <w:szCs w:val="17"/>
          <w:color w:val="auto"/>
        </w:rPr>
        <w:t>”. The date on which a sinking fund payment is to be made is herein referred to as the “</w:t>
      </w:r>
      <w:r>
        <w:rPr>
          <w:rFonts w:ascii="Arial" w:cs="Arial" w:eastAsia="Arial" w:hAnsi="Arial"/>
          <w:sz w:val="17"/>
          <w:szCs w:val="17"/>
          <w:b w:val="1"/>
          <w:bCs w:val="1"/>
          <w:color w:val="auto"/>
        </w:rPr>
        <w:t>sinking</w:t>
      </w:r>
      <w:r>
        <w:rPr>
          <w:rFonts w:ascii="Arial" w:cs="Arial" w:eastAsia="Arial" w:hAnsi="Arial"/>
          <w:sz w:val="17"/>
          <w:szCs w:val="17"/>
          <w:color w:val="auto"/>
        </w:rPr>
        <w:t xml:space="preserve"> </w:t>
      </w:r>
      <w:r>
        <w:rPr>
          <w:rFonts w:ascii="Arial" w:cs="Arial" w:eastAsia="Arial" w:hAnsi="Arial"/>
          <w:sz w:val="17"/>
          <w:szCs w:val="17"/>
          <w:b w:val="1"/>
          <w:bCs w:val="1"/>
          <w:color w:val="auto"/>
        </w:rPr>
        <w:t>fund payment date</w:t>
      </w:r>
      <w:r>
        <w:rPr>
          <w:rFonts w:ascii="Arial" w:cs="Arial" w:eastAsia="Arial" w:hAnsi="Arial"/>
          <w:sz w:val="17"/>
          <w:szCs w:val="17"/>
          <w:color w:val="auto"/>
        </w:rPr>
        <w:t>”.</w:t>
      </w:r>
    </w:p>
    <w:p>
      <w:pPr>
        <w:spacing w:after="0" w:line="181" w:lineRule="exact"/>
        <w:rPr>
          <w:sz w:val="20"/>
          <w:szCs w:val="20"/>
          <w:color w:val="auto"/>
        </w:rPr>
      </w:pPr>
    </w:p>
    <w:p>
      <w:pPr>
        <w:ind w:firstLine="595"/>
        <w:spacing w:after="0" w:line="284" w:lineRule="auto"/>
        <w:rPr>
          <w:sz w:val="20"/>
          <w:szCs w:val="20"/>
          <w:color w:val="auto"/>
        </w:rPr>
      </w:pPr>
      <w:r>
        <w:rPr>
          <w:rFonts w:ascii="Arial" w:cs="Arial" w:eastAsia="Arial" w:hAnsi="Arial"/>
          <w:sz w:val="15"/>
          <w:szCs w:val="15"/>
          <w:color w:val="auto"/>
        </w:rPr>
        <w:t>In lieu of making all or any part of any mandatory sinking fund payment with respect to any series of Securities in cash, the Issuer may at its option (a) deliver to the Trustee Securities of such series theretofore purchased or otherwise acquired (except upon redemption pursuant to the mandatory sinking fund) by the Issuer or receive credit for Securities of such series (not previously so credited) theretofore purchased or otherwise acquired (except as aforesaid) by the Issuer and delivered to the Trustee for cancellation pursuant to Section 2.10 and, if applicable, receive credit for Securities (not previously so credited) converted into Common Stock and so delivered to the Trustee for cancellation, (b) receive credit for optional sinking fund payments (not previously so credited) made pursuant to this Section, or (c) receive credit for Securities of such series (not previously so credited) redeemed by the Issuer through any optional redemption provision contained in the terms of such series. Securities so delivered or credited shall be received or credited by the Trustee at the sinking fund redemption price specified in such Securities.</w:t>
      </w:r>
    </w:p>
    <w:p>
      <w:pPr>
        <w:spacing w:after="0" w:line="159" w:lineRule="exact"/>
        <w:rPr>
          <w:sz w:val="20"/>
          <w:szCs w:val="20"/>
          <w:color w:val="auto"/>
        </w:rPr>
      </w:pPr>
    </w:p>
    <w:p>
      <w:pPr>
        <w:ind w:firstLine="595"/>
        <w:spacing w:after="0" w:line="280" w:lineRule="auto"/>
        <w:rPr>
          <w:sz w:val="20"/>
          <w:szCs w:val="20"/>
          <w:color w:val="auto"/>
        </w:rPr>
      </w:pPr>
      <w:r>
        <w:rPr>
          <w:rFonts w:ascii="Arial" w:cs="Arial" w:eastAsia="Arial" w:hAnsi="Arial"/>
          <w:sz w:val="15"/>
          <w:szCs w:val="15"/>
          <w:color w:val="auto"/>
        </w:rPr>
        <w:t>On or before the 60th day next preceding each sinking fund payment date for any series, the Issuer will deliver to the Trustee an Officer’s Certificate (which need not contain the statements required by Section 11.05) (a) specifying the portion of the mandatory sinking fund payment to be satisfied by payment of cash and the portion to be satisfied by credit of Securities of such series and the basis for such credit, (b) stating that none of the Securities of such series for which credit will be taken has theretofore been so credited, (c) stating that no defaults in the payment of interest or Events of Default with respect to such series have occurred (which have not been waived or cured) and are continuing and (d) stating whether or not the Issuer intends to exercise its right to make an optional sinking fund payment with respect to such series and, if so, specifying the amount of such optional sinking fund payment which the Issuer intends to pay on or before the next succeeding sinking fund payment date. Any Securities of such series to be credited and required to be delivered to the Trustee in order for the Issuer to be entitled to credit therefor as aforesaid which have not theretofore been delivered to the Trustee shall be delivered for cancellation pursuant to Section 2.10 to the Trustee with such Officer’s Certificate (or reasonably promptly thereafter if acceptable to the Trustee). Such Officer’s Certificate shall be irrevocable and upon its receipt by the Trustee the Issuer shall become unconditionally obligated to make all the cash payments or payments therein referred to, if any, on or before the next succeeding sinking fund payment date. Failure of the Issuer, on or before any such 60th day, to deliver such Officer’s Certificate and Securities specified in this paragraph, if any, shall not constitute a default but shall constitute, on and as of such date, the irrevocable election of the Issuer that the mandatory sinking fund payment for such series due on the next succeeding sinking fund payment date shall be paid entirely in cash without the option to deliver or credit Securities of such series in respect thereof.</w:t>
      </w:r>
    </w:p>
    <w:p>
      <w:pPr>
        <w:spacing w:after="0" w:line="36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0">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99" w:name="page100"/>
    <w:bookmarkEnd w:id="99"/>
    <w:p>
      <w:pPr>
        <w:ind w:firstLine="595"/>
        <w:spacing w:after="0" w:line="278" w:lineRule="auto"/>
        <w:rPr>
          <w:sz w:val="20"/>
          <w:szCs w:val="20"/>
          <w:color w:val="auto"/>
        </w:rPr>
      </w:pPr>
      <w:r>
        <w:rPr>
          <w:rFonts w:ascii="Arial" w:cs="Arial" w:eastAsia="Arial" w:hAnsi="Arial"/>
          <w:sz w:val="15"/>
          <w:szCs w:val="15"/>
          <w:color w:val="auto"/>
        </w:rPr>
        <w:t xml:space="preserve">If the sinking fund payment or payments (mandatory or optional or both) to be made in cash on the next succeeding sinking fund payment date plus any unused balance of any preceding sinking fund payments made in cash shall exceed $50,000 (or the equivalent thereof in any Foreign Currency or a lesser sum in Dollars or in any Foreign Currency if the Issuer shall so request) with respect to the Securities of any particular series, such cash shall be applied on the next succeeding sinking fund payment date to the redemption of Securities of such series at the sinking fund redemption price together with accrued interest to the date fixed for redemption. If such amount shall be $50,000 (or the equivalent thereof in any Foreign Currency) or less and the Issuer makes no such request then it shall be carried over until a sum in excess of $50,000 (or the equivalent thereof in any Foreign Currency) is available, which delay in accordance with this paragraph shall not be a default or breach of the obligation to make such payment. The Trustee shall select, in the manner provided in Section 12.02, for redemption on such sinking fund payment date a sufficient principal amount of Securities of such series to which such cash may be applied, as nearly as may be, and shall (if requested in writing by the Issuer) inform the Issuer of the serial numbers of the Securities of such series (or portions thereof) so selected. The Trustee, in the name and at the expense of the Issuer (or the Issuer, if it shall so request the Trustee in writing), shall cause notice of redemption of the Securities of such series to be given in substantially the manner provided in Section 12.02 (and with the effect provided in Section 12.03) for the redemption of Securities of such series in part at the option of the Issuer.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 The Issuer’s obligation to make a mandatory or optional sinking fund payment shall automatically be reduced by an amount equal to the sinking fund redemption price allocable to any Securities or portions thereof called for redemption pursuant to the preceding paragraph on any sinking fund payment date and converted into Common Stock in accordance with the terms of such Securities; </w:t>
      </w:r>
      <w:r>
        <w:rPr>
          <w:rFonts w:ascii="Arial" w:cs="Arial" w:eastAsia="Arial" w:hAnsi="Arial"/>
          <w:sz w:val="15"/>
          <w:szCs w:val="15"/>
          <w:i w:val="1"/>
          <w:iCs w:val="1"/>
          <w:color w:val="auto"/>
        </w:rPr>
        <w:t>provided that</w:t>
      </w:r>
      <w:r>
        <w:rPr>
          <w:rFonts w:ascii="Arial" w:cs="Arial" w:eastAsia="Arial" w:hAnsi="Arial"/>
          <w:sz w:val="15"/>
          <w:szCs w:val="15"/>
          <w:color w:val="auto"/>
        </w:rPr>
        <w:t>, if the Trustee is not the conversion agent for the Securities, the Issuer or such conversion agent shall give the Trustee written notice on or prior to the date fixed for redemption of the principal amount of Securities or portions thereof so converted.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1">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00"/>
          </w:cols>
          <w:pgMar w:left="320" w:top="846" w:right="379" w:bottom="1440" w:gutter="0" w:footer="0" w:header="0"/>
        </w:sectPr>
      </w:pPr>
    </w:p>
    <w:bookmarkStart w:id="100" w:name="page101"/>
    <w:bookmarkEnd w:id="100"/>
    <w:p>
      <w:pPr>
        <w:ind w:right="120" w:firstLine="595"/>
        <w:spacing w:after="0" w:line="260" w:lineRule="auto"/>
        <w:rPr>
          <w:sz w:val="20"/>
          <w:szCs w:val="20"/>
          <w:color w:val="auto"/>
        </w:rPr>
      </w:pPr>
      <w:r>
        <w:rPr>
          <w:rFonts w:ascii="Arial" w:cs="Arial" w:eastAsia="Arial" w:hAnsi="Arial"/>
          <w:sz w:val="17"/>
          <w:szCs w:val="17"/>
          <w:color w:val="auto"/>
        </w:rPr>
        <w:t>On or before each sinking fund payment date, the Issuer shall pay to the Trustee in cash or shall otherwise provide for the payment of all interest accrued to the date fixed for redemption on Securities to be redeemed on such sinking fund payment date.</w:t>
      </w:r>
    </w:p>
    <w:p>
      <w:pPr>
        <w:spacing w:after="0" w:line="172" w:lineRule="exact"/>
        <w:rPr>
          <w:sz w:val="20"/>
          <w:szCs w:val="20"/>
          <w:color w:val="auto"/>
        </w:rPr>
      </w:pPr>
    </w:p>
    <w:p>
      <w:pPr>
        <w:ind w:firstLine="595"/>
        <w:spacing w:after="0" w:line="283" w:lineRule="auto"/>
        <w:rPr>
          <w:sz w:val="20"/>
          <w:szCs w:val="20"/>
          <w:color w:val="auto"/>
        </w:rPr>
      </w:pPr>
      <w:r>
        <w:rPr>
          <w:rFonts w:ascii="Arial" w:cs="Arial" w:eastAsia="Arial" w:hAnsi="Arial"/>
          <w:sz w:val="15"/>
          <w:szCs w:val="15"/>
          <w:color w:val="auto"/>
        </w:rPr>
        <w:t>The Trustee shall not redeem or cause to be redeemed any Securities of a series with sinking fund moneys or give any notice of redemption of Securities for such series by operation of the sinking fund during the continuance of a default in payment of interest on such Securities or of any Event of Default except that, where providing notice of redemption of any Securities shall theretofore have been made, the Trustee shall redeem or cause to be redeemed such Securities, provided that it shall have received from the Issuer a sum sufficient for such redemption. Except as aforesaid, any moneys in the sinking fund for such series at the time when any such default or Event of Default shall occur, and any moneys thereafter paid into the sinking fund, shall, during the continuance of such default or Event of Default, be deemed to have been collected under Article 5 and held for the payment of all such Securities. In case such Event of Default shall have been waived as provided in Section 5.10, or the default cured on or before the 60th day preceding the sinking fund payment date in any year, such moneys shall thereafter be applied on such sinking fund payment date in accordance with this Section to the redemption of such Securities.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[Signature pages follow]</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2">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color w:val="auto"/>
        </w:rPr>
        <w:t>IN WITNESS WHEREOF, the parties hereto have caused this Indenture to be duly executed as of _____________.</w:t>
      </w:r>
    </w:p>
    <w:p>
      <w:pPr>
        <w:spacing w:after="0" w:line="23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IVERIC bio, Inc.</w:t>
      </w:r>
    </w:p>
    <w:p>
      <w:pPr>
        <w:spacing w:after="0" w:line="20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-123190</wp:posOffset>
            </wp:positionV>
            <wp:extent cx="336296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3">
                      <a:extLst>
                        <a:ext uri="{28A0092B-C50C-407E-A947-70E740481C1C}"/>
                      </a:extLst>
                    </a:blip>
                    <a:srcRect/>
                    <a:stretch>
                      <a:fillRect/>
                    </a:stretch>
                  </pic:blipFill>
                  <pic:spPr bwMode="auto">
                    <a:xfrm>
                      <a:off x="0" y="0"/>
                      <a:ext cx="3362960" cy="7620"/>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7"/>
          <w:szCs w:val="17"/>
          <w:color w:val="auto"/>
        </w:rPr>
        <w:t>Title:</w:t>
      </w:r>
    </w:p>
    <w:p>
      <w:pPr>
        <w:spacing w:after="0" w:line="19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Attest:</w:t>
      </w:r>
    </w:p>
    <w:p>
      <w:pPr>
        <w:spacing w:after="0" w:line="20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-123190</wp:posOffset>
            </wp:positionV>
            <wp:extent cx="336296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4">
                      <a:extLst>
                        <a:ext uri="{28A0092B-C50C-407E-A947-70E740481C1C}"/>
                      </a:extLst>
                    </a:blip>
                    <a:srcRect/>
                    <a:stretch>
                      <a:fillRect/>
                    </a:stretch>
                  </pic:blipFill>
                  <pic:spPr bwMode="auto">
                    <a:xfrm>
                      <a:off x="0" y="0"/>
                      <a:ext cx="3362960" cy="7620"/>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396875</wp:posOffset>
            </wp:positionV>
            <wp:extent cx="714375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5">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0139"/>
          </w:cols>
          <w:pgMar w:left="320" w:top="846" w:right="1440" w:bottom="1440" w:gutter="0" w:footer="0" w:header="0"/>
        </w:sectPr>
      </w:pPr>
    </w:p>
    <w:bookmarkStart w:id="102" w:name="page103"/>
    <w:bookmarkEnd w:id="102"/>
    <w:p>
      <w:pPr>
        <w:jc w:val="right"/>
        <w:spacing w:after="0"/>
        <w:rPr>
          <w:sz w:val="20"/>
          <w:szCs w:val="20"/>
          <w:color w:val="auto"/>
        </w:rPr>
      </w:pPr>
      <w:r>
        <w:rPr>
          <w:rFonts w:ascii="Arial" w:cs="Arial" w:eastAsia="Arial" w:hAnsi="Arial"/>
          <w:sz w:val="17"/>
          <w:szCs w:val="17"/>
          <w:b w:val="1"/>
          <w:bCs w:val="1"/>
          <w:color w:val="auto"/>
        </w:rPr>
        <w:t>Exhibit 4.4</w:t>
      </w:r>
    </w:p>
    <w:p>
      <w:pPr>
        <w:spacing w:after="0" w:line="201"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IVERIC BIO, INC.</w:t>
      </w:r>
    </w:p>
    <w:p>
      <w:pPr>
        <w:spacing w:after="0" w:line="205"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and</w:t>
      </w:r>
    </w:p>
    <w:p>
      <w:pPr>
        <w:spacing w:after="0" w:line="201"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_______________</w:t>
      </w:r>
    </w:p>
    <w:p>
      <w:pPr>
        <w:spacing w:after="0" w:line="201"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Trustee</w:t>
      </w:r>
    </w:p>
    <w:p>
      <w:pPr>
        <w:spacing w:after="0" w:line="197"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INDENTURE</w:t>
      </w:r>
    </w:p>
    <w:p>
      <w:pPr>
        <w:spacing w:after="0" w:line="205" w:lineRule="exact"/>
        <w:rPr>
          <w:sz w:val="20"/>
          <w:szCs w:val="20"/>
          <w:color w:val="auto"/>
        </w:rPr>
      </w:pPr>
    </w:p>
    <w:p>
      <w:pPr>
        <w:ind w:left="3480"/>
        <w:spacing w:after="0"/>
        <w:rPr>
          <w:sz w:val="20"/>
          <w:szCs w:val="20"/>
          <w:color w:val="auto"/>
        </w:rPr>
      </w:pPr>
      <w:r>
        <w:rPr>
          <w:rFonts w:ascii="Arial" w:cs="Arial" w:eastAsia="Arial" w:hAnsi="Arial"/>
          <w:sz w:val="17"/>
          <w:szCs w:val="17"/>
          <w:color w:val="auto"/>
        </w:rPr>
        <w:t>Dated as of _______________</w:t>
      </w:r>
    </w:p>
    <w:p>
      <w:pPr>
        <w:spacing w:after="0" w:line="197" w:lineRule="exact"/>
        <w:rPr>
          <w:sz w:val="20"/>
          <w:szCs w:val="20"/>
          <w:color w:val="auto"/>
        </w:rPr>
      </w:pPr>
    </w:p>
    <w:p>
      <w:pPr>
        <w:ind w:left="3080"/>
        <w:spacing w:after="0"/>
        <w:rPr>
          <w:sz w:val="20"/>
          <w:szCs w:val="20"/>
          <w:color w:val="auto"/>
        </w:rPr>
      </w:pPr>
      <w:r>
        <w:rPr>
          <w:rFonts w:ascii="Arial" w:cs="Arial" w:eastAsia="Arial" w:hAnsi="Arial"/>
          <w:sz w:val="17"/>
          <w:szCs w:val="17"/>
          <w:b w:val="1"/>
          <w:bCs w:val="1"/>
          <w:color w:val="auto"/>
        </w:rPr>
        <w:t>SUBORDINATED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406400</wp:posOffset>
            </wp:positionV>
            <wp:extent cx="714375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6">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0120"/>
          </w:cols>
          <w:pgMar w:left="1440" w:top="321"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359"/>
        </w:trPr>
        <w:tc>
          <w:tcPr>
            <w:tcW w:w="3560" w:type="dxa"/>
            <w:vAlign w:val="bottom"/>
          </w:tcPr>
          <w:p>
            <w:pPr>
              <w:spacing w:after="0"/>
              <w:rPr>
                <w:sz w:val="24"/>
                <w:szCs w:val="24"/>
                <w:color w:val="auto"/>
              </w:rPr>
            </w:pPr>
          </w:p>
        </w:tc>
        <w:tc>
          <w:tcPr>
            <w:tcW w:w="7520" w:type="dxa"/>
            <w:vAlign w:val="bottom"/>
            <w:gridSpan w:val="2"/>
          </w:tcPr>
          <w:p>
            <w:pPr>
              <w:jc w:val="right"/>
              <w:ind w:right="4297"/>
              <w:spacing w:after="0"/>
              <w:rPr>
                <w:sz w:val="20"/>
                <w:szCs w:val="20"/>
                <w:color w:val="auto"/>
              </w:rPr>
            </w:pPr>
            <w:r>
              <w:rPr>
                <w:rFonts w:ascii="Arial" w:cs="Arial" w:eastAsia="Arial" w:hAnsi="Arial"/>
                <w:sz w:val="17"/>
                <w:szCs w:val="17"/>
                <w:b w:val="1"/>
                <w:bCs w:val="1"/>
                <w:color w:val="auto"/>
              </w:rPr>
              <w:t xml:space="preserve">CROSS-REFERENCE TABLE </w:t>
            </w:r>
            <w:r>
              <w:rPr>
                <w:rFonts w:ascii="Arial" w:cs="Arial" w:eastAsia="Arial" w:hAnsi="Arial"/>
                <w:sz w:val="27"/>
                <w:szCs w:val="27"/>
                <w:color w:val="auto"/>
                <w:vertAlign w:val="superscript"/>
              </w:rPr>
              <w:t>1</w:t>
            </w:r>
          </w:p>
        </w:tc>
      </w:tr>
      <w:tr>
        <w:trPr>
          <w:trHeight w:val="272"/>
        </w:trPr>
        <w:tc>
          <w:tcPr>
            <w:tcW w:w="3560" w:type="dxa"/>
            <w:vAlign w:val="bottom"/>
          </w:tcPr>
          <w:p>
            <w:pPr>
              <w:spacing w:after="0"/>
              <w:rPr>
                <w:sz w:val="23"/>
                <w:szCs w:val="23"/>
                <w:color w:val="auto"/>
              </w:rPr>
            </w:pPr>
          </w:p>
        </w:tc>
        <w:tc>
          <w:tcPr>
            <w:tcW w:w="5460" w:type="dxa"/>
            <w:vAlign w:val="bottom"/>
          </w:tcPr>
          <w:p>
            <w:pPr>
              <w:spacing w:after="0"/>
              <w:rPr>
                <w:sz w:val="23"/>
                <w:szCs w:val="23"/>
                <w:color w:val="auto"/>
              </w:rPr>
            </w:pPr>
          </w:p>
        </w:tc>
        <w:tc>
          <w:tcPr>
            <w:tcW w:w="2060" w:type="dxa"/>
            <w:vAlign w:val="bottom"/>
          </w:tcPr>
          <w:p>
            <w:pPr>
              <w:spacing w:after="0"/>
              <w:rPr>
                <w:sz w:val="20"/>
                <w:szCs w:val="20"/>
                <w:color w:val="auto"/>
              </w:rPr>
            </w:pPr>
            <w:r>
              <w:rPr>
                <w:rFonts w:ascii="Arial" w:cs="Arial" w:eastAsia="Arial" w:hAnsi="Arial"/>
                <w:sz w:val="17"/>
                <w:szCs w:val="17"/>
                <w:color w:val="auto"/>
              </w:rPr>
              <w:t>Section of</w:t>
            </w:r>
          </w:p>
        </w:tc>
      </w:tr>
      <w:tr>
        <w:trPr>
          <w:trHeight w:val="209"/>
        </w:trPr>
        <w:tc>
          <w:tcPr>
            <w:tcW w:w="3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0"/>
              </w:rPr>
              <w:t>Section of Trust Indenture Act of 1939, as amended</w:t>
            </w:r>
          </w:p>
        </w:tc>
        <w:tc>
          <w:tcPr>
            <w:tcW w:w="5460" w:type="dxa"/>
            <w:vAlign w:val="bottom"/>
          </w:tcPr>
          <w:p>
            <w:pPr>
              <w:spacing w:after="0"/>
              <w:rPr>
                <w:sz w:val="18"/>
                <w:szCs w:val="18"/>
                <w:color w:val="auto"/>
              </w:rPr>
            </w:pPr>
          </w:p>
        </w:tc>
        <w:tc>
          <w:tcPr>
            <w:tcW w:w="2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Indenture</w:t>
            </w:r>
          </w:p>
        </w:tc>
      </w:tr>
      <w:tr>
        <w:trPr>
          <w:trHeight w:val="180"/>
        </w:trPr>
        <w:tc>
          <w:tcPr>
            <w:tcW w:w="3560" w:type="dxa"/>
            <w:vAlign w:val="bottom"/>
          </w:tcPr>
          <w:p>
            <w:pPr>
              <w:spacing w:after="0" w:line="180" w:lineRule="exact"/>
              <w:rPr>
                <w:sz w:val="20"/>
                <w:szCs w:val="20"/>
                <w:color w:val="auto"/>
              </w:rPr>
            </w:pPr>
            <w:r>
              <w:rPr>
                <w:rFonts w:ascii="Arial" w:cs="Arial" w:eastAsia="Arial" w:hAnsi="Arial"/>
                <w:sz w:val="17"/>
                <w:szCs w:val="17"/>
                <w:color w:val="auto"/>
              </w:rPr>
              <w:t>310(a)</w:t>
            </w:r>
          </w:p>
        </w:tc>
        <w:tc>
          <w:tcPr>
            <w:tcW w:w="5460" w:type="dxa"/>
            <w:vAlign w:val="bottom"/>
          </w:tcPr>
          <w:p>
            <w:pPr>
              <w:spacing w:after="0"/>
              <w:rPr>
                <w:sz w:val="15"/>
                <w:szCs w:val="15"/>
                <w:color w:val="auto"/>
              </w:rPr>
            </w:pPr>
          </w:p>
        </w:tc>
        <w:tc>
          <w:tcPr>
            <w:tcW w:w="2060" w:type="dxa"/>
            <w:vAlign w:val="bottom"/>
          </w:tcPr>
          <w:p>
            <w:pPr>
              <w:jc w:val="right"/>
              <w:ind w:right="1697"/>
              <w:spacing w:after="0" w:line="180" w:lineRule="exact"/>
              <w:rPr>
                <w:sz w:val="20"/>
                <w:szCs w:val="20"/>
                <w:color w:val="auto"/>
              </w:rPr>
            </w:pPr>
            <w:r>
              <w:rPr>
                <w:rFonts w:ascii="Arial" w:cs="Arial" w:eastAsia="Arial" w:hAnsi="Arial"/>
                <w:sz w:val="17"/>
                <w:szCs w:val="17"/>
                <w:color w:val="auto"/>
                <w:w w:val="78"/>
              </w:rPr>
              <w:t>6.09</w:t>
            </w:r>
          </w:p>
        </w:tc>
      </w:tr>
      <w:tr>
        <w:trPr>
          <w:trHeight w:val="198"/>
        </w:trPr>
        <w:tc>
          <w:tcPr>
            <w:tcW w:w="3560" w:type="dxa"/>
            <w:vAlign w:val="bottom"/>
          </w:tcPr>
          <w:p>
            <w:pPr>
              <w:spacing w:after="0"/>
              <w:rPr>
                <w:sz w:val="20"/>
                <w:szCs w:val="20"/>
                <w:color w:val="auto"/>
              </w:rPr>
            </w:pPr>
            <w:r>
              <w:rPr>
                <w:rFonts w:ascii="Arial" w:cs="Arial" w:eastAsia="Arial" w:hAnsi="Arial"/>
                <w:sz w:val="17"/>
                <w:szCs w:val="17"/>
                <w:color w:val="auto"/>
              </w:rPr>
              <w:t>310(b)</w:t>
            </w:r>
          </w:p>
        </w:tc>
        <w:tc>
          <w:tcPr>
            <w:tcW w:w="7520" w:type="dxa"/>
            <w:vAlign w:val="bottom"/>
            <w:gridSpan w:val="2"/>
          </w:tcPr>
          <w:p>
            <w:pPr>
              <w:jc w:val="right"/>
              <w:ind w:right="1697"/>
              <w:spacing w:after="0"/>
              <w:rPr>
                <w:sz w:val="20"/>
                <w:szCs w:val="20"/>
                <w:color w:val="auto"/>
              </w:rPr>
            </w:pPr>
            <w:r>
              <w:rPr>
                <w:rFonts w:ascii="Arial" w:cs="Arial" w:eastAsia="Arial" w:hAnsi="Arial"/>
                <w:sz w:val="17"/>
                <w:szCs w:val="17"/>
                <w:color w:val="auto"/>
              </w:rPr>
              <w:t>6.08</w:t>
            </w:r>
          </w:p>
        </w:tc>
      </w:tr>
      <w:tr>
        <w:trPr>
          <w:trHeight w:val="198"/>
        </w:trPr>
        <w:tc>
          <w:tcPr>
            <w:tcW w:w="3560" w:type="dxa"/>
            <w:vAlign w:val="bottom"/>
          </w:tcPr>
          <w:p>
            <w:pPr>
              <w:spacing w:after="0"/>
              <w:rPr>
                <w:sz w:val="17"/>
                <w:szCs w:val="17"/>
                <w:color w:val="auto"/>
              </w:rPr>
            </w:pPr>
          </w:p>
        </w:tc>
        <w:tc>
          <w:tcPr>
            <w:tcW w:w="7520" w:type="dxa"/>
            <w:vAlign w:val="bottom"/>
            <w:gridSpan w:val="2"/>
          </w:tcPr>
          <w:p>
            <w:pPr>
              <w:jc w:val="right"/>
              <w:ind w:right="1697"/>
              <w:spacing w:after="0"/>
              <w:rPr>
                <w:sz w:val="20"/>
                <w:szCs w:val="20"/>
                <w:color w:val="auto"/>
              </w:rPr>
            </w:pPr>
            <w:r>
              <w:rPr>
                <w:rFonts w:ascii="Arial" w:cs="Arial" w:eastAsia="Arial" w:hAnsi="Arial"/>
                <w:sz w:val="17"/>
                <w:szCs w:val="17"/>
                <w:color w:val="auto"/>
              </w:rPr>
              <w:t>6.10</w:t>
            </w:r>
          </w:p>
        </w:tc>
      </w:tr>
      <w:tr>
        <w:trPr>
          <w:trHeight w:val="198"/>
        </w:trPr>
        <w:tc>
          <w:tcPr>
            <w:tcW w:w="3560" w:type="dxa"/>
            <w:vAlign w:val="bottom"/>
          </w:tcPr>
          <w:p>
            <w:pPr>
              <w:spacing w:after="0"/>
              <w:rPr>
                <w:sz w:val="20"/>
                <w:szCs w:val="20"/>
                <w:color w:val="auto"/>
              </w:rPr>
            </w:pPr>
            <w:r>
              <w:rPr>
                <w:rFonts w:ascii="Arial" w:cs="Arial" w:eastAsia="Arial" w:hAnsi="Arial"/>
                <w:sz w:val="17"/>
                <w:szCs w:val="17"/>
                <w:color w:val="auto"/>
              </w:rPr>
              <w:t>310(c)</w:t>
            </w:r>
          </w:p>
        </w:tc>
        <w:tc>
          <w:tcPr>
            <w:tcW w:w="5460" w:type="dxa"/>
            <w:vAlign w:val="bottom"/>
          </w:tcPr>
          <w:p>
            <w:pPr>
              <w:spacing w:after="0"/>
              <w:rPr>
                <w:sz w:val="17"/>
                <w:szCs w:val="17"/>
                <w:color w:val="auto"/>
              </w:rPr>
            </w:pPr>
          </w:p>
        </w:tc>
        <w:tc>
          <w:tcPr>
            <w:tcW w:w="2060" w:type="dxa"/>
            <w:vAlign w:val="bottom"/>
          </w:tcPr>
          <w:p>
            <w:pPr>
              <w:spacing w:after="0"/>
              <w:rPr>
                <w:sz w:val="20"/>
                <w:szCs w:val="20"/>
                <w:color w:val="auto"/>
              </w:rPr>
            </w:pPr>
            <w:r>
              <w:rPr>
                <w:rFonts w:ascii="Arial" w:cs="Arial" w:eastAsia="Arial" w:hAnsi="Arial"/>
                <w:sz w:val="17"/>
                <w:szCs w:val="17"/>
                <w:color w:val="auto"/>
              </w:rPr>
              <w:t>Inapplicable</w:t>
            </w:r>
          </w:p>
        </w:tc>
      </w:tr>
      <w:tr>
        <w:trPr>
          <w:trHeight w:val="198"/>
        </w:trPr>
        <w:tc>
          <w:tcPr>
            <w:tcW w:w="3560" w:type="dxa"/>
            <w:vAlign w:val="bottom"/>
          </w:tcPr>
          <w:p>
            <w:pPr>
              <w:spacing w:after="0"/>
              <w:rPr>
                <w:sz w:val="20"/>
                <w:szCs w:val="20"/>
                <w:color w:val="auto"/>
              </w:rPr>
            </w:pPr>
            <w:r>
              <w:rPr>
                <w:rFonts w:ascii="Arial" w:cs="Arial" w:eastAsia="Arial" w:hAnsi="Arial"/>
                <w:sz w:val="17"/>
                <w:szCs w:val="17"/>
                <w:color w:val="auto"/>
              </w:rPr>
              <w:t>311(a)</w:t>
            </w:r>
          </w:p>
        </w:tc>
        <w:tc>
          <w:tcPr>
            <w:tcW w:w="7520" w:type="dxa"/>
            <w:vAlign w:val="bottom"/>
            <w:gridSpan w:val="2"/>
          </w:tcPr>
          <w:p>
            <w:pPr>
              <w:jc w:val="right"/>
              <w:ind w:right="1697"/>
              <w:spacing w:after="0"/>
              <w:rPr>
                <w:sz w:val="20"/>
                <w:szCs w:val="20"/>
                <w:color w:val="auto"/>
              </w:rPr>
            </w:pPr>
            <w:r>
              <w:rPr>
                <w:rFonts w:ascii="Arial" w:cs="Arial" w:eastAsia="Arial" w:hAnsi="Arial"/>
                <w:sz w:val="17"/>
                <w:szCs w:val="17"/>
                <w:color w:val="auto"/>
              </w:rPr>
              <w:t>6.13</w:t>
            </w:r>
          </w:p>
        </w:tc>
      </w:tr>
      <w:tr>
        <w:trPr>
          <w:trHeight w:val="198"/>
        </w:trPr>
        <w:tc>
          <w:tcPr>
            <w:tcW w:w="3560" w:type="dxa"/>
            <w:vAlign w:val="bottom"/>
          </w:tcPr>
          <w:p>
            <w:pPr>
              <w:spacing w:after="0"/>
              <w:rPr>
                <w:sz w:val="20"/>
                <w:szCs w:val="20"/>
                <w:color w:val="auto"/>
              </w:rPr>
            </w:pPr>
            <w:r>
              <w:rPr>
                <w:rFonts w:ascii="Arial" w:cs="Arial" w:eastAsia="Arial" w:hAnsi="Arial"/>
                <w:sz w:val="17"/>
                <w:szCs w:val="17"/>
                <w:color w:val="auto"/>
              </w:rPr>
              <w:t>311(b)</w:t>
            </w:r>
          </w:p>
        </w:tc>
        <w:tc>
          <w:tcPr>
            <w:tcW w:w="7520" w:type="dxa"/>
            <w:vAlign w:val="bottom"/>
            <w:gridSpan w:val="2"/>
          </w:tcPr>
          <w:p>
            <w:pPr>
              <w:jc w:val="right"/>
              <w:ind w:right="1697"/>
              <w:spacing w:after="0"/>
              <w:rPr>
                <w:sz w:val="20"/>
                <w:szCs w:val="20"/>
                <w:color w:val="auto"/>
              </w:rPr>
            </w:pPr>
            <w:r>
              <w:rPr>
                <w:rFonts w:ascii="Arial" w:cs="Arial" w:eastAsia="Arial" w:hAnsi="Arial"/>
                <w:sz w:val="17"/>
                <w:szCs w:val="17"/>
                <w:color w:val="auto"/>
              </w:rPr>
              <w:t>6.13</w:t>
            </w:r>
          </w:p>
        </w:tc>
      </w:tr>
      <w:tr>
        <w:trPr>
          <w:trHeight w:val="198"/>
        </w:trPr>
        <w:tc>
          <w:tcPr>
            <w:tcW w:w="3560" w:type="dxa"/>
            <w:vAlign w:val="bottom"/>
          </w:tcPr>
          <w:p>
            <w:pPr>
              <w:spacing w:after="0"/>
              <w:rPr>
                <w:sz w:val="20"/>
                <w:szCs w:val="20"/>
                <w:color w:val="auto"/>
              </w:rPr>
            </w:pPr>
            <w:r>
              <w:rPr>
                <w:rFonts w:ascii="Arial" w:cs="Arial" w:eastAsia="Arial" w:hAnsi="Arial"/>
                <w:sz w:val="17"/>
                <w:szCs w:val="17"/>
                <w:color w:val="auto"/>
              </w:rPr>
              <w:t>311(c)</w:t>
            </w:r>
          </w:p>
        </w:tc>
        <w:tc>
          <w:tcPr>
            <w:tcW w:w="5460" w:type="dxa"/>
            <w:vAlign w:val="bottom"/>
          </w:tcPr>
          <w:p>
            <w:pPr>
              <w:spacing w:after="0"/>
              <w:rPr>
                <w:sz w:val="17"/>
                <w:szCs w:val="17"/>
                <w:color w:val="auto"/>
              </w:rPr>
            </w:pPr>
          </w:p>
        </w:tc>
        <w:tc>
          <w:tcPr>
            <w:tcW w:w="2060" w:type="dxa"/>
            <w:vAlign w:val="bottom"/>
          </w:tcPr>
          <w:p>
            <w:pPr>
              <w:spacing w:after="0"/>
              <w:rPr>
                <w:sz w:val="20"/>
                <w:szCs w:val="20"/>
                <w:color w:val="auto"/>
              </w:rPr>
            </w:pPr>
            <w:r>
              <w:rPr>
                <w:rFonts w:ascii="Arial" w:cs="Arial" w:eastAsia="Arial" w:hAnsi="Arial"/>
                <w:sz w:val="17"/>
                <w:szCs w:val="17"/>
                <w:color w:val="auto"/>
              </w:rPr>
              <w:t>Inapplicable</w:t>
            </w:r>
          </w:p>
        </w:tc>
      </w:tr>
      <w:tr>
        <w:trPr>
          <w:trHeight w:val="198"/>
        </w:trPr>
        <w:tc>
          <w:tcPr>
            <w:tcW w:w="3560" w:type="dxa"/>
            <w:vAlign w:val="bottom"/>
          </w:tcPr>
          <w:p>
            <w:pPr>
              <w:spacing w:after="0"/>
              <w:rPr>
                <w:sz w:val="20"/>
                <w:szCs w:val="20"/>
                <w:color w:val="auto"/>
              </w:rPr>
            </w:pPr>
            <w:r>
              <w:rPr>
                <w:rFonts w:ascii="Arial" w:cs="Arial" w:eastAsia="Arial" w:hAnsi="Arial"/>
                <w:sz w:val="17"/>
                <w:szCs w:val="17"/>
                <w:color w:val="auto"/>
              </w:rPr>
              <w:t>312(a)</w:t>
            </w:r>
          </w:p>
        </w:tc>
        <w:tc>
          <w:tcPr>
            <w:tcW w:w="7520" w:type="dxa"/>
            <w:vAlign w:val="bottom"/>
            <w:gridSpan w:val="2"/>
          </w:tcPr>
          <w:p>
            <w:pPr>
              <w:jc w:val="right"/>
              <w:ind w:right="1697"/>
              <w:spacing w:after="0"/>
              <w:rPr>
                <w:sz w:val="20"/>
                <w:szCs w:val="20"/>
                <w:color w:val="auto"/>
              </w:rPr>
            </w:pPr>
            <w:r>
              <w:rPr>
                <w:rFonts w:ascii="Arial" w:cs="Arial" w:eastAsia="Arial" w:hAnsi="Arial"/>
                <w:sz w:val="17"/>
                <w:szCs w:val="17"/>
                <w:color w:val="auto"/>
              </w:rPr>
              <w:t>4.01</w:t>
            </w:r>
          </w:p>
        </w:tc>
      </w:tr>
      <w:tr>
        <w:trPr>
          <w:trHeight w:val="198"/>
        </w:trPr>
        <w:tc>
          <w:tcPr>
            <w:tcW w:w="3560" w:type="dxa"/>
            <w:vAlign w:val="bottom"/>
          </w:tcPr>
          <w:p>
            <w:pPr>
              <w:spacing w:after="0"/>
              <w:rPr>
                <w:sz w:val="17"/>
                <w:szCs w:val="17"/>
                <w:color w:val="auto"/>
              </w:rPr>
            </w:pPr>
          </w:p>
        </w:tc>
        <w:tc>
          <w:tcPr>
            <w:tcW w:w="7520" w:type="dxa"/>
            <w:vAlign w:val="bottom"/>
            <w:gridSpan w:val="2"/>
          </w:tcPr>
          <w:p>
            <w:pPr>
              <w:jc w:val="right"/>
              <w:ind w:right="1697"/>
              <w:spacing w:after="0"/>
              <w:rPr>
                <w:sz w:val="20"/>
                <w:szCs w:val="20"/>
                <w:color w:val="auto"/>
              </w:rPr>
            </w:pPr>
            <w:r>
              <w:rPr>
                <w:rFonts w:ascii="Arial" w:cs="Arial" w:eastAsia="Arial" w:hAnsi="Arial"/>
                <w:sz w:val="17"/>
                <w:szCs w:val="17"/>
                <w:color w:val="auto"/>
              </w:rPr>
              <w:t>4.04</w:t>
            </w:r>
          </w:p>
        </w:tc>
      </w:tr>
      <w:tr>
        <w:trPr>
          <w:trHeight w:val="198"/>
        </w:trPr>
        <w:tc>
          <w:tcPr>
            <w:tcW w:w="3560" w:type="dxa"/>
            <w:vAlign w:val="bottom"/>
          </w:tcPr>
          <w:p>
            <w:pPr>
              <w:spacing w:after="0"/>
              <w:rPr>
                <w:sz w:val="20"/>
                <w:szCs w:val="20"/>
                <w:color w:val="auto"/>
              </w:rPr>
            </w:pPr>
            <w:r>
              <w:rPr>
                <w:rFonts w:ascii="Arial" w:cs="Arial" w:eastAsia="Arial" w:hAnsi="Arial"/>
                <w:sz w:val="17"/>
                <w:szCs w:val="17"/>
                <w:color w:val="auto"/>
              </w:rPr>
              <w:t>312(b)</w:t>
            </w:r>
          </w:p>
        </w:tc>
        <w:tc>
          <w:tcPr>
            <w:tcW w:w="5460" w:type="dxa"/>
            <w:vAlign w:val="bottom"/>
          </w:tcPr>
          <w:p>
            <w:pPr>
              <w:spacing w:after="0"/>
              <w:rPr>
                <w:sz w:val="17"/>
                <w:szCs w:val="17"/>
                <w:color w:val="auto"/>
              </w:rPr>
            </w:pPr>
          </w:p>
        </w:tc>
        <w:tc>
          <w:tcPr>
            <w:tcW w:w="2060" w:type="dxa"/>
            <w:vAlign w:val="bottom"/>
          </w:tcPr>
          <w:p>
            <w:pPr>
              <w:jc w:val="right"/>
              <w:ind w:right="1517"/>
              <w:spacing w:after="0"/>
              <w:rPr>
                <w:sz w:val="20"/>
                <w:szCs w:val="20"/>
                <w:color w:val="auto"/>
              </w:rPr>
            </w:pPr>
            <w:r>
              <w:rPr>
                <w:rFonts w:ascii="Arial" w:cs="Arial" w:eastAsia="Arial" w:hAnsi="Arial"/>
                <w:sz w:val="17"/>
                <w:szCs w:val="17"/>
                <w:color w:val="auto"/>
                <w:w w:val="83"/>
              </w:rPr>
              <w:t>4.04(c)</w:t>
            </w:r>
          </w:p>
        </w:tc>
      </w:tr>
      <w:tr>
        <w:trPr>
          <w:trHeight w:val="198"/>
        </w:trPr>
        <w:tc>
          <w:tcPr>
            <w:tcW w:w="3560" w:type="dxa"/>
            <w:vAlign w:val="bottom"/>
          </w:tcPr>
          <w:p>
            <w:pPr>
              <w:spacing w:after="0"/>
              <w:rPr>
                <w:sz w:val="20"/>
                <w:szCs w:val="20"/>
                <w:color w:val="auto"/>
              </w:rPr>
            </w:pPr>
            <w:r>
              <w:rPr>
                <w:rFonts w:ascii="Arial" w:cs="Arial" w:eastAsia="Arial" w:hAnsi="Arial"/>
                <w:sz w:val="17"/>
                <w:szCs w:val="17"/>
                <w:color w:val="auto"/>
              </w:rPr>
              <w:t>312(c)</w:t>
            </w:r>
          </w:p>
        </w:tc>
        <w:tc>
          <w:tcPr>
            <w:tcW w:w="5460" w:type="dxa"/>
            <w:vAlign w:val="bottom"/>
          </w:tcPr>
          <w:p>
            <w:pPr>
              <w:spacing w:after="0"/>
              <w:rPr>
                <w:sz w:val="17"/>
                <w:szCs w:val="17"/>
                <w:color w:val="auto"/>
              </w:rPr>
            </w:pPr>
          </w:p>
        </w:tc>
        <w:tc>
          <w:tcPr>
            <w:tcW w:w="2060" w:type="dxa"/>
            <w:vAlign w:val="bottom"/>
          </w:tcPr>
          <w:p>
            <w:pPr>
              <w:jc w:val="right"/>
              <w:ind w:right="1517"/>
              <w:spacing w:after="0"/>
              <w:rPr>
                <w:sz w:val="20"/>
                <w:szCs w:val="20"/>
                <w:color w:val="auto"/>
              </w:rPr>
            </w:pPr>
            <w:r>
              <w:rPr>
                <w:rFonts w:ascii="Arial" w:cs="Arial" w:eastAsia="Arial" w:hAnsi="Arial"/>
                <w:sz w:val="17"/>
                <w:szCs w:val="17"/>
                <w:color w:val="auto"/>
                <w:w w:val="83"/>
              </w:rPr>
              <w:t>4.04(c)</w:t>
            </w:r>
          </w:p>
        </w:tc>
      </w:tr>
      <w:tr>
        <w:trPr>
          <w:trHeight w:val="198"/>
        </w:trPr>
        <w:tc>
          <w:tcPr>
            <w:tcW w:w="3560" w:type="dxa"/>
            <w:vAlign w:val="bottom"/>
          </w:tcPr>
          <w:p>
            <w:pPr>
              <w:spacing w:after="0"/>
              <w:rPr>
                <w:sz w:val="20"/>
                <w:szCs w:val="20"/>
                <w:color w:val="auto"/>
              </w:rPr>
            </w:pPr>
            <w:r>
              <w:rPr>
                <w:rFonts w:ascii="Arial" w:cs="Arial" w:eastAsia="Arial" w:hAnsi="Arial"/>
                <w:sz w:val="17"/>
                <w:szCs w:val="17"/>
                <w:color w:val="auto"/>
              </w:rPr>
              <w:t>313(a)</w:t>
            </w:r>
          </w:p>
        </w:tc>
        <w:tc>
          <w:tcPr>
            <w:tcW w:w="7520" w:type="dxa"/>
            <w:vAlign w:val="bottom"/>
            <w:gridSpan w:val="2"/>
          </w:tcPr>
          <w:p>
            <w:pPr>
              <w:jc w:val="right"/>
              <w:ind w:right="1697"/>
              <w:spacing w:after="0"/>
              <w:rPr>
                <w:sz w:val="20"/>
                <w:szCs w:val="20"/>
                <w:color w:val="auto"/>
              </w:rPr>
            </w:pPr>
            <w:r>
              <w:rPr>
                <w:rFonts w:ascii="Arial" w:cs="Arial" w:eastAsia="Arial" w:hAnsi="Arial"/>
                <w:sz w:val="17"/>
                <w:szCs w:val="17"/>
                <w:color w:val="auto"/>
              </w:rPr>
              <w:t>4.03</w:t>
            </w:r>
          </w:p>
        </w:tc>
      </w:tr>
      <w:tr>
        <w:trPr>
          <w:trHeight w:val="198"/>
        </w:trPr>
        <w:tc>
          <w:tcPr>
            <w:tcW w:w="3560" w:type="dxa"/>
            <w:vAlign w:val="bottom"/>
          </w:tcPr>
          <w:p>
            <w:pPr>
              <w:spacing w:after="0"/>
              <w:rPr>
                <w:sz w:val="20"/>
                <w:szCs w:val="20"/>
                <w:color w:val="auto"/>
              </w:rPr>
            </w:pPr>
            <w:r>
              <w:rPr>
                <w:rFonts w:ascii="Arial" w:cs="Arial" w:eastAsia="Arial" w:hAnsi="Arial"/>
                <w:sz w:val="17"/>
                <w:szCs w:val="17"/>
                <w:color w:val="auto"/>
              </w:rPr>
              <w:t>313(b)</w:t>
            </w:r>
          </w:p>
        </w:tc>
        <w:tc>
          <w:tcPr>
            <w:tcW w:w="7520" w:type="dxa"/>
            <w:vAlign w:val="bottom"/>
            <w:gridSpan w:val="2"/>
          </w:tcPr>
          <w:p>
            <w:pPr>
              <w:jc w:val="right"/>
              <w:ind w:right="1697"/>
              <w:spacing w:after="0"/>
              <w:rPr>
                <w:sz w:val="20"/>
                <w:szCs w:val="20"/>
                <w:color w:val="auto"/>
              </w:rPr>
            </w:pPr>
            <w:r>
              <w:rPr>
                <w:rFonts w:ascii="Arial" w:cs="Arial" w:eastAsia="Arial" w:hAnsi="Arial"/>
                <w:sz w:val="17"/>
                <w:szCs w:val="17"/>
                <w:color w:val="auto"/>
              </w:rPr>
              <w:t>4.03</w:t>
            </w:r>
          </w:p>
        </w:tc>
      </w:tr>
      <w:tr>
        <w:trPr>
          <w:trHeight w:val="198"/>
        </w:trPr>
        <w:tc>
          <w:tcPr>
            <w:tcW w:w="3560" w:type="dxa"/>
            <w:vAlign w:val="bottom"/>
          </w:tcPr>
          <w:p>
            <w:pPr>
              <w:spacing w:after="0"/>
              <w:rPr>
                <w:sz w:val="20"/>
                <w:szCs w:val="20"/>
                <w:color w:val="auto"/>
              </w:rPr>
            </w:pPr>
            <w:r>
              <w:rPr>
                <w:rFonts w:ascii="Arial" w:cs="Arial" w:eastAsia="Arial" w:hAnsi="Arial"/>
                <w:sz w:val="17"/>
                <w:szCs w:val="17"/>
                <w:color w:val="auto"/>
              </w:rPr>
              <w:t>313(c)</w:t>
            </w:r>
          </w:p>
        </w:tc>
        <w:tc>
          <w:tcPr>
            <w:tcW w:w="7520" w:type="dxa"/>
            <w:vAlign w:val="bottom"/>
            <w:gridSpan w:val="2"/>
          </w:tcPr>
          <w:p>
            <w:pPr>
              <w:jc w:val="right"/>
              <w:ind w:right="1697"/>
              <w:spacing w:after="0"/>
              <w:rPr>
                <w:sz w:val="20"/>
                <w:szCs w:val="20"/>
                <w:color w:val="auto"/>
              </w:rPr>
            </w:pPr>
            <w:r>
              <w:rPr>
                <w:rFonts w:ascii="Arial" w:cs="Arial" w:eastAsia="Arial" w:hAnsi="Arial"/>
                <w:sz w:val="17"/>
                <w:szCs w:val="17"/>
                <w:color w:val="auto"/>
              </w:rPr>
              <w:t>4.03</w:t>
            </w:r>
          </w:p>
        </w:tc>
      </w:tr>
      <w:tr>
        <w:trPr>
          <w:trHeight w:val="198"/>
        </w:trPr>
        <w:tc>
          <w:tcPr>
            <w:tcW w:w="3560" w:type="dxa"/>
            <w:vAlign w:val="bottom"/>
          </w:tcPr>
          <w:p>
            <w:pPr>
              <w:spacing w:after="0"/>
              <w:rPr>
                <w:sz w:val="20"/>
                <w:szCs w:val="20"/>
                <w:color w:val="auto"/>
              </w:rPr>
            </w:pPr>
            <w:r>
              <w:rPr>
                <w:rFonts w:ascii="Arial" w:cs="Arial" w:eastAsia="Arial" w:hAnsi="Arial"/>
                <w:sz w:val="17"/>
                <w:szCs w:val="17"/>
                <w:color w:val="auto"/>
              </w:rPr>
              <w:t>313(d)</w:t>
            </w:r>
          </w:p>
        </w:tc>
        <w:tc>
          <w:tcPr>
            <w:tcW w:w="7520" w:type="dxa"/>
            <w:vAlign w:val="bottom"/>
            <w:gridSpan w:val="2"/>
          </w:tcPr>
          <w:p>
            <w:pPr>
              <w:jc w:val="right"/>
              <w:ind w:right="1697"/>
              <w:spacing w:after="0"/>
              <w:rPr>
                <w:sz w:val="20"/>
                <w:szCs w:val="20"/>
                <w:color w:val="auto"/>
              </w:rPr>
            </w:pPr>
            <w:r>
              <w:rPr>
                <w:rFonts w:ascii="Arial" w:cs="Arial" w:eastAsia="Arial" w:hAnsi="Arial"/>
                <w:sz w:val="17"/>
                <w:szCs w:val="17"/>
                <w:color w:val="auto"/>
              </w:rPr>
              <w:t>4.03</w:t>
            </w:r>
          </w:p>
        </w:tc>
      </w:tr>
      <w:tr>
        <w:trPr>
          <w:trHeight w:val="198"/>
        </w:trPr>
        <w:tc>
          <w:tcPr>
            <w:tcW w:w="3560" w:type="dxa"/>
            <w:vAlign w:val="bottom"/>
          </w:tcPr>
          <w:p>
            <w:pPr>
              <w:spacing w:after="0"/>
              <w:rPr>
                <w:sz w:val="20"/>
                <w:szCs w:val="20"/>
                <w:color w:val="auto"/>
              </w:rPr>
            </w:pPr>
            <w:r>
              <w:rPr>
                <w:rFonts w:ascii="Arial" w:cs="Arial" w:eastAsia="Arial" w:hAnsi="Arial"/>
                <w:sz w:val="17"/>
                <w:szCs w:val="17"/>
                <w:color w:val="auto"/>
              </w:rPr>
              <w:t>314(a)</w:t>
            </w:r>
          </w:p>
        </w:tc>
        <w:tc>
          <w:tcPr>
            <w:tcW w:w="7520" w:type="dxa"/>
            <w:vAlign w:val="bottom"/>
            <w:gridSpan w:val="2"/>
          </w:tcPr>
          <w:p>
            <w:pPr>
              <w:jc w:val="right"/>
              <w:ind w:right="1697"/>
              <w:spacing w:after="0"/>
              <w:rPr>
                <w:sz w:val="20"/>
                <w:szCs w:val="20"/>
                <w:color w:val="auto"/>
              </w:rPr>
            </w:pPr>
            <w:r>
              <w:rPr>
                <w:rFonts w:ascii="Arial" w:cs="Arial" w:eastAsia="Arial" w:hAnsi="Arial"/>
                <w:sz w:val="17"/>
                <w:szCs w:val="17"/>
                <w:color w:val="auto"/>
              </w:rPr>
              <w:t>4.02</w:t>
            </w:r>
          </w:p>
        </w:tc>
      </w:tr>
      <w:tr>
        <w:trPr>
          <w:trHeight w:val="198"/>
        </w:trPr>
        <w:tc>
          <w:tcPr>
            <w:tcW w:w="3560" w:type="dxa"/>
            <w:vAlign w:val="bottom"/>
          </w:tcPr>
          <w:p>
            <w:pPr>
              <w:spacing w:after="0"/>
              <w:rPr>
                <w:sz w:val="20"/>
                <w:szCs w:val="20"/>
                <w:color w:val="auto"/>
              </w:rPr>
            </w:pPr>
            <w:r>
              <w:rPr>
                <w:rFonts w:ascii="Arial" w:cs="Arial" w:eastAsia="Arial" w:hAnsi="Arial"/>
                <w:sz w:val="17"/>
                <w:szCs w:val="17"/>
                <w:color w:val="auto"/>
              </w:rPr>
              <w:t>314(b)</w:t>
            </w:r>
          </w:p>
        </w:tc>
        <w:tc>
          <w:tcPr>
            <w:tcW w:w="5460" w:type="dxa"/>
            <w:vAlign w:val="bottom"/>
          </w:tcPr>
          <w:p>
            <w:pPr>
              <w:spacing w:after="0"/>
              <w:rPr>
                <w:sz w:val="17"/>
                <w:szCs w:val="17"/>
                <w:color w:val="auto"/>
              </w:rPr>
            </w:pPr>
          </w:p>
        </w:tc>
        <w:tc>
          <w:tcPr>
            <w:tcW w:w="2060" w:type="dxa"/>
            <w:vAlign w:val="bottom"/>
          </w:tcPr>
          <w:p>
            <w:pPr>
              <w:spacing w:after="0"/>
              <w:rPr>
                <w:sz w:val="20"/>
                <w:szCs w:val="20"/>
                <w:color w:val="auto"/>
              </w:rPr>
            </w:pPr>
            <w:r>
              <w:rPr>
                <w:rFonts w:ascii="Arial" w:cs="Arial" w:eastAsia="Arial" w:hAnsi="Arial"/>
                <w:sz w:val="17"/>
                <w:szCs w:val="17"/>
                <w:color w:val="auto"/>
              </w:rPr>
              <w:t>Inapplicable</w:t>
            </w:r>
          </w:p>
        </w:tc>
      </w:tr>
      <w:tr>
        <w:trPr>
          <w:trHeight w:val="198"/>
        </w:trPr>
        <w:tc>
          <w:tcPr>
            <w:tcW w:w="3560" w:type="dxa"/>
            <w:vAlign w:val="bottom"/>
          </w:tcPr>
          <w:p>
            <w:pPr>
              <w:spacing w:after="0"/>
              <w:rPr>
                <w:sz w:val="20"/>
                <w:szCs w:val="20"/>
                <w:color w:val="auto"/>
              </w:rPr>
            </w:pPr>
            <w:r>
              <w:rPr>
                <w:rFonts w:ascii="Arial" w:cs="Arial" w:eastAsia="Arial" w:hAnsi="Arial"/>
                <w:sz w:val="17"/>
                <w:szCs w:val="17"/>
                <w:color w:val="auto"/>
              </w:rPr>
              <w:t>314(c)</w:t>
            </w:r>
          </w:p>
        </w:tc>
        <w:tc>
          <w:tcPr>
            <w:tcW w:w="7520" w:type="dxa"/>
            <w:vAlign w:val="bottom"/>
            <w:gridSpan w:val="2"/>
          </w:tcPr>
          <w:p>
            <w:pPr>
              <w:jc w:val="right"/>
              <w:ind w:right="1697"/>
              <w:spacing w:after="0"/>
              <w:rPr>
                <w:sz w:val="20"/>
                <w:szCs w:val="20"/>
                <w:color w:val="auto"/>
              </w:rPr>
            </w:pPr>
            <w:r>
              <w:rPr>
                <w:rFonts w:ascii="Arial" w:cs="Arial" w:eastAsia="Arial" w:hAnsi="Arial"/>
                <w:sz w:val="17"/>
                <w:szCs w:val="17"/>
                <w:color w:val="auto"/>
              </w:rPr>
              <w:t>2.04</w:t>
            </w:r>
          </w:p>
        </w:tc>
      </w:tr>
      <w:tr>
        <w:trPr>
          <w:trHeight w:val="198"/>
        </w:trPr>
        <w:tc>
          <w:tcPr>
            <w:tcW w:w="3560" w:type="dxa"/>
            <w:vAlign w:val="bottom"/>
          </w:tcPr>
          <w:p>
            <w:pPr>
              <w:spacing w:after="0"/>
              <w:rPr>
                <w:sz w:val="17"/>
                <w:szCs w:val="17"/>
                <w:color w:val="auto"/>
              </w:rPr>
            </w:pPr>
          </w:p>
        </w:tc>
        <w:tc>
          <w:tcPr>
            <w:tcW w:w="7520" w:type="dxa"/>
            <w:vAlign w:val="bottom"/>
            <w:gridSpan w:val="2"/>
          </w:tcPr>
          <w:p>
            <w:pPr>
              <w:jc w:val="right"/>
              <w:ind w:right="1697"/>
              <w:spacing w:after="0"/>
              <w:rPr>
                <w:sz w:val="20"/>
                <w:szCs w:val="20"/>
                <w:color w:val="auto"/>
              </w:rPr>
            </w:pPr>
            <w:r>
              <w:rPr>
                <w:rFonts w:ascii="Arial" w:cs="Arial" w:eastAsia="Arial" w:hAnsi="Arial"/>
                <w:sz w:val="17"/>
                <w:szCs w:val="17"/>
                <w:color w:val="auto"/>
              </w:rPr>
              <w:t>8.04</w:t>
            </w:r>
          </w:p>
        </w:tc>
      </w:tr>
      <w:tr>
        <w:trPr>
          <w:trHeight w:val="198"/>
        </w:trPr>
        <w:tc>
          <w:tcPr>
            <w:tcW w:w="356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2060" w:type="dxa"/>
            <w:vAlign w:val="bottom"/>
          </w:tcPr>
          <w:p>
            <w:pPr>
              <w:jc w:val="right"/>
              <w:ind w:right="1517"/>
              <w:spacing w:after="0"/>
              <w:rPr>
                <w:sz w:val="20"/>
                <w:szCs w:val="20"/>
                <w:color w:val="auto"/>
              </w:rPr>
            </w:pPr>
            <w:r>
              <w:rPr>
                <w:rFonts w:ascii="Arial" w:cs="Arial" w:eastAsia="Arial" w:hAnsi="Arial"/>
                <w:sz w:val="17"/>
                <w:szCs w:val="17"/>
                <w:color w:val="auto"/>
                <w:w w:val="83"/>
              </w:rPr>
              <w:t>9.01(c)</w:t>
            </w:r>
          </w:p>
        </w:tc>
      </w:tr>
      <w:tr>
        <w:trPr>
          <w:trHeight w:val="198"/>
        </w:trPr>
        <w:tc>
          <w:tcPr>
            <w:tcW w:w="356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2060" w:type="dxa"/>
            <w:vAlign w:val="bottom"/>
          </w:tcPr>
          <w:p>
            <w:pPr>
              <w:jc w:val="right"/>
              <w:ind w:right="1417"/>
              <w:spacing w:after="0"/>
              <w:rPr>
                <w:sz w:val="20"/>
                <w:szCs w:val="20"/>
                <w:color w:val="auto"/>
              </w:rPr>
            </w:pPr>
            <w:r>
              <w:rPr>
                <w:rFonts w:ascii="Arial" w:cs="Arial" w:eastAsia="Arial" w:hAnsi="Arial"/>
                <w:sz w:val="17"/>
                <w:szCs w:val="17"/>
                <w:color w:val="auto"/>
                <w:w w:val="85"/>
              </w:rPr>
              <w:t>10.01(b)</w:t>
            </w:r>
          </w:p>
        </w:tc>
      </w:tr>
      <w:tr>
        <w:trPr>
          <w:trHeight w:val="198"/>
        </w:trPr>
        <w:tc>
          <w:tcPr>
            <w:tcW w:w="3560" w:type="dxa"/>
            <w:vAlign w:val="bottom"/>
          </w:tcPr>
          <w:p>
            <w:pPr>
              <w:spacing w:after="0"/>
              <w:rPr>
                <w:sz w:val="17"/>
                <w:szCs w:val="17"/>
                <w:color w:val="auto"/>
              </w:rPr>
            </w:pPr>
          </w:p>
        </w:tc>
        <w:tc>
          <w:tcPr>
            <w:tcW w:w="7520" w:type="dxa"/>
            <w:vAlign w:val="bottom"/>
            <w:gridSpan w:val="2"/>
          </w:tcPr>
          <w:p>
            <w:pPr>
              <w:jc w:val="right"/>
              <w:ind w:right="1617"/>
              <w:spacing w:after="0"/>
              <w:rPr>
                <w:sz w:val="20"/>
                <w:szCs w:val="20"/>
                <w:color w:val="auto"/>
              </w:rPr>
            </w:pPr>
            <w:r>
              <w:rPr>
                <w:rFonts w:ascii="Arial" w:cs="Arial" w:eastAsia="Arial" w:hAnsi="Arial"/>
                <w:sz w:val="17"/>
                <w:szCs w:val="17"/>
                <w:color w:val="auto"/>
              </w:rPr>
              <w:t>11.05</w:t>
            </w:r>
          </w:p>
        </w:tc>
      </w:tr>
      <w:tr>
        <w:trPr>
          <w:trHeight w:val="198"/>
        </w:trPr>
        <w:tc>
          <w:tcPr>
            <w:tcW w:w="3560" w:type="dxa"/>
            <w:vAlign w:val="bottom"/>
          </w:tcPr>
          <w:p>
            <w:pPr>
              <w:spacing w:after="0"/>
              <w:rPr>
                <w:sz w:val="20"/>
                <w:szCs w:val="20"/>
                <w:color w:val="auto"/>
              </w:rPr>
            </w:pPr>
            <w:r>
              <w:rPr>
                <w:rFonts w:ascii="Arial" w:cs="Arial" w:eastAsia="Arial" w:hAnsi="Arial"/>
                <w:sz w:val="17"/>
                <w:szCs w:val="17"/>
                <w:color w:val="auto"/>
              </w:rPr>
              <w:t>314(d)</w:t>
            </w:r>
          </w:p>
        </w:tc>
        <w:tc>
          <w:tcPr>
            <w:tcW w:w="5460" w:type="dxa"/>
            <w:vAlign w:val="bottom"/>
          </w:tcPr>
          <w:p>
            <w:pPr>
              <w:spacing w:after="0"/>
              <w:rPr>
                <w:sz w:val="17"/>
                <w:szCs w:val="17"/>
                <w:color w:val="auto"/>
              </w:rPr>
            </w:pPr>
          </w:p>
        </w:tc>
        <w:tc>
          <w:tcPr>
            <w:tcW w:w="2060" w:type="dxa"/>
            <w:vAlign w:val="bottom"/>
          </w:tcPr>
          <w:p>
            <w:pPr>
              <w:spacing w:after="0"/>
              <w:rPr>
                <w:sz w:val="20"/>
                <w:szCs w:val="20"/>
                <w:color w:val="auto"/>
              </w:rPr>
            </w:pPr>
            <w:r>
              <w:rPr>
                <w:rFonts w:ascii="Arial" w:cs="Arial" w:eastAsia="Arial" w:hAnsi="Arial"/>
                <w:sz w:val="17"/>
                <w:szCs w:val="17"/>
                <w:color w:val="auto"/>
              </w:rPr>
              <w:t>Inapplicable</w:t>
            </w:r>
          </w:p>
        </w:tc>
      </w:tr>
      <w:tr>
        <w:trPr>
          <w:trHeight w:val="198"/>
        </w:trPr>
        <w:tc>
          <w:tcPr>
            <w:tcW w:w="3560" w:type="dxa"/>
            <w:vAlign w:val="bottom"/>
          </w:tcPr>
          <w:p>
            <w:pPr>
              <w:spacing w:after="0"/>
              <w:rPr>
                <w:sz w:val="20"/>
                <w:szCs w:val="20"/>
                <w:color w:val="auto"/>
              </w:rPr>
            </w:pPr>
            <w:r>
              <w:rPr>
                <w:rFonts w:ascii="Arial" w:cs="Arial" w:eastAsia="Arial" w:hAnsi="Arial"/>
                <w:sz w:val="17"/>
                <w:szCs w:val="17"/>
                <w:color w:val="auto"/>
              </w:rPr>
              <w:t>314(e)</w:t>
            </w:r>
          </w:p>
        </w:tc>
        <w:tc>
          <w:tcPr>
            <w:tcW w:w="7520" w:type="dxa"/>
            <w:vAlign w:val="bottom"/>
            <w:gridSpan w:val="2"/>
          </w:tcPr>
          <w:p>
            <w:pPr>
              <w:jc w:val="right"/>
              <w:ind w:right="1617"/>
              <w:spacing w:after="0"/>
              <w:rPr>
                <w:sz w:val="20"/>
                <w:szCs w:val="20"/>
                <w:color w:val="auto"/>
              </w:rPr>
            </w:pPr>
            <w:r>
              <w:rPr>
                <w:rFonts w:ascii="Arial" w:cs="Arial" w:eastAsia="Arial" w:hAnsi="Arial"/>
                <w:sz w:val="17"/>
                <w:szCs w:val="17"/>
                <w:color w:val="auto"/>
              </w:rPr>
              <w:t>11.05</w:t>
            </w:r>
          </w:p>
        </w:tc>
      </w:tr>
      <w:tr>
        <w:trPr>
          <w:trHeight w:val="198"/>
        </w:trPr>
        <w:tc>
          <w:tcPr>
            <w:tcW w:w="3560" w:type="dxa"/>
            <w:vAlign w:val="bottom"/>
          </w:tcPr>
          <w:p>
            <w:pPr>
              <w:spacing w:after="0"/>
              <w:rPr>
                <w:sz w:val="20"/>
                <w:szCs w:val="20"/>
                <w:color w:val="auto"/>
              </w:rPr>
            </w:pPr>
            <w:r>
              <w:rPr>
                <w:rFonts w:ascii="Arial" w:cs="Arial" w:eastAsia="Arial" w:hAnsi="Arial"/>
                <w:sz w:val="17"/>
                <w:szCs w:val="17"/>
                <w:color w:val="auto"/>
              </w:rPr>
              <w:t>314(f)</w:t>
            </w:r>
          </w:p>
        </w:tc>
        <w:tc>
          <w:tcPr>
            <w:tcW w:w="5460" w:type="dxa"/>
            <w:vAlign w:val="bottom"/>
          </w:tcPr>
          <w:p>
            <w:pPr>
              <w:spacing w:after="0"/>
              <w:rPr>
                <w:sz w:val="17"/>
                <w:szCs w:val="17"/>
                <w:color w:val="auto"/>
              </w:rPr>
            </w:pPr>
          </w:p>
        </w:tc>
        <w:tc>
          <w:tcPr>
            <w:tcW w:w="2060" w:type="dxa"/>
            <w:vAlign w:val="bottom"/>
          </w:tcPr>
          <w:p>
            <w:pPr>
              <w:spacing w:after="0"/>
              <w:rPr>
                <w:sz w:val="20"/>
                <w:szCs w:val="20"/>
                <w:color w:val="auto"/>
              </w:rPr>
            </w:pPr>
            <w:r>
              <w:rPr>
                <w:rFonts w:ascii="Arial" w:cs="Arial" w:eastAsia="Arial" w:hAnsi="Arial"/>
                <w:sz w:val="17"/>
                <w:szCs w:val="17"/>
                <w:color w:val="auto"/>
              </w:rPr>
              <w:t>Inapplicable</w:t>
            </w:r>
          </w:p>
        </w:tc>
      </w:tr>
      <w:tr>
        <w:trPr>
          <w:trHeight w:val="198"/>
        </w:trPr>
        <w:tc>
          <w:tcPr>
            <w:tcW w:w="3560" w:type="dxa"/>
            <w:vAlign w:val="bottom"/>
          </w:tcPr>
          <w:p>
            <w:pPr>
              <w:spacing w:after="0"/>
              <w:rPr>
                <w:sz w:val="20"/>
                <w:szCs w:val="20"/>
                <w:color w:val="auto"/>
              </w:rPr>
            </w:pPr>
            <w:r>
              <w:rPr>
                <w:rFonts w:ascii="Arial" w:cs="Arial" w:eastAsia="Arial" w:hAnsi="Arial"/>
                <w:sz w:val="17"/>
                <w:szCs w:val="17"/>
                <w:color w:val="auto"/>
              </w:rPr>
              <w:t>315(a)</w:t>
            </w:r>
          </w:p>
        </w:tc>
        <w:tc>
          <w:tcPr>
            <w:tcW w:w="7520" w:type="dxa"/>
            <w:vAlign w:val="bottom"/>
            <w:gridSpan w:val="2"/>
          </w:tcPr>
          <w:p>
            <w:pPr>
              <w:jc w:val="right"/>
              <w:ind w:right="1697"/>
              <w:spacing w:after="0"/>
              <w:rPr>
                <w:sz w:val="20"/>
                <w:szCs w:val="20"/>
                <w:color w:val="auto"/>
              </w:rPr>
            </w:pPr>
            <w:r>
              <w:rPr>
                <w:rFonts w:ascii="Arial" w:cs="Arial" w:eastAsia="Arial" w:hAnsi="Arial"/>
                <w:sz w:val="17"/>
                <w:szCs w:val="17"/>
                <w:color w:val="auto"/>
              </w:rPr>
              <w:t>6.01</w:t>
            </w:r>
          </w:p>
        </w:tc>
      </w:tr>
      <w:tr>
        <w:trPr>
          <w:trHeight w:val="198"/>
        </w:trPr>
        <w:tc>
          <w:tcPr>
            <w:tcW w:w="3560" w:type="dxa"/>
            <w:vAlign w:val="bottom"/>
          </w:tcPr>
          <w:p>
            <w:pPr>
              <w:spacing w:after="0"/>
              <w:rPr>
                <w:sz w:val="17"/>
                <w:szCs w:val="17"/>
                <w:color w:val="auto"/>
              </w:rPr>
            </w:pPr>
          </w:p>
        </w:tc>
        <w:tc>
          <w:tcPr>
            <w:tcW w:w="7520" w:type="dxa"/>
            <w:vAlign w:val="bottom"/>
            <w:gridSpan w:val="2"/>
          </w:tcPr>
          <w:p>
            <w:pPr>
              <w:jc w:val="right"/>
              <w:ind w:right="1697"/>
              <w:spacing w:after="0"/>
              <w:rPr>
                <w:sz w:val="20"/>
                <w:szCs w:val="20"/>
                <w:color w:val="auto"/>
              </w:rPr>
            </w:pPr>
            <w:r>
              <w:rPr>
                <w:rFonts w:ascii="Arial" w:cs="Arial" w:eastAsia="Arial" w:hAnsi="Arial"/>
                <w:sz w:val="17"/>
                <w:szCs w:val="17"/>
                <w:color w:val="auto"/>
              </w:rPr>
              <w:t>6.02</w:t>
            </w:r>
          </w:p>
        </w:tc>
      </w:tr>
      <w:tr>
        <w:trPr>
          <w:trHeight w:val="198"/>
        </w:trPr>
        <w:tc>
          <w:tcPr>
            <w:tcW w:w="3560" w:type="dxa"/>
            <w:vAlign w:val="bottom"/>
          </w:tcPr>
          <w:p>
            <w:pPr>
              <w:spacing w:after="0"/>
              <w:rPr>
                <w:sz w:val="20"/>
                <w:szCs w:val="20"/>
                <w:color w:val="auto"/>
              </w:rPr>
            </w:pPr>
            <w:r>
              <w:rPr>
                <w:rFonts w:ascii="Arial" w:cs="Arial" w:eastAsia="Arial" w:hAnsi="Arial"/>
                <w:sz w:val="17"/>
                <w:szCs w:val="17"/>
                <w:color w:val="auto"/>
              </w:rPr>
              <w:t>315(b)</w:t>
            </w:r>
          </w:p>
        </w:tc>
        <w:tc>
          <w:tcPr>
            <w:tcW w:w="7520" w:type="dxa"/>
            <w:vAlign w:val="bottom"/>
            <w:gridSpan w:val="2"/>
          </w:tcPr>
          <w:p>
            <w:pPr>
              <w:jc w:val="right"/>
              <w:ind w:right="1697"/>
              <w:spacing w:after="0"/>
              <w:rPr>
                <w:sz w:val="20"/>
                <w:szCs w:val="20"/>
                <w:color w:val="auto"/>
              </w:rPr>
            </w:pPr>
            <w:r>
              <w:rPr>
                <w:rFonts w:ascii="Arial" w:cs="Arial" w:eastAsia="Arial" w:hAnsi="Arial"/>
                <w:sz w:val="17"/>
                <w:szCs w:val="17"/>
                <w:color w:val="auto"/>
              </w:rPr>
              <w:t>5.11</w:t>
            </w:r>
          </w:p>
        </w:tc>
      </w:tr>
      <w:tr>
        <w:trPr>
          <w:trHeight w:val="198"/>
        </w:trPr>
        <w:tc>
          <w:tcPr>
            <w:tcW w:w="3560" w:type="dxa"/>
            <w:vAlign w:val="bottom"/>
          </w:tcPr>
          <w:p>
            <w:pPr>
              <w:spacing w:after="0"/>
              <w:rPr>
                <w:sz w:val="20"/>
                <w:szCs w:val="20"/>
                <w:color w:val="auto"/>
              </w:rPr>
            </w:pPr>
            <w:r>
              <w:rPr>
                <w:rFonts w:ascii="Arial" w:cs="Arial" w:eastAsia="Arial" w:hAnsi="Arial"/>
                <w:sz w:val="17"/>
                <w:szCs w:val="17"/>
                <w:color w:val="auto"/>
              </w:rPr>
              <w:t>315(c)</w:t>
            </w:r>
          </w:p>
        </w:tc>
        <w:tc>
          <w:tcPr>
            <w:tcW w:w="7520" w:type="dxa"/>
            <w:vAlign w:val="bottom"/>
            <w:gridSpan w:val="2"/>
          </w:tcPr>
          <w:p>
            <w:pPr>
              <w:jc w:val="right"/>
              <w:ind w:right="1697"/>
              <w:spacing w:after="0"/>
              <w:rPr>
                <w:sz w:val="20"/>
                <w:szCs w:val="20"/>
                <w:color w:val="auto"/>
              </w:rPr>
            </w:pPr>
            <w:r>
              <w:rPr>
                <w:rFonts w:ascii="Arial" w:cs="Arial" w:eastAsia="Arial" w:hAnsi="Arial"/>
                <w:sz w:val="17"/>
                <w:szCs w:val="17"/>
                <w:color w:val="auto"/>
              </w:rPr>
              <w:t>6.01</w:t>
            </w:r>
          </w:p>
        </w:tc>
      </w:tr>
      <w:tr>
        <w:trPr>
          <w:trHeight w:val="198"/>
        </w:trPr>
        <w:tc>
          <w:tcPr>
            <w:tcW w:w="3560" w:type="dxa"/>
            <w:vAlign w:val="bottom"/>
          </w:tcPr>
          <w:p>
            <w:pPr>
              <w:spacing w:after="0"/>
              <w:rPr>
                <w:sz w:val="20"/>
                <w:szCs w:val="20"/>
                <w:color w:val="auto"/>
              </w:rPr>
            </w:pPr>
            <w:r>
              <w:rPr>
                <w:rFonts w:ascii="Arial" w:cs="Arial" w:eastAsia="Arial" w:hAnsi="Arial"/>
                <w:sz w:val="17"/>
                <w:szCs w:val="17"/>
                <w:color w:val="auto"/>
              </w:rPr>
              <w:t>315(d)</w:t>
            </w:r>
          </w:p>
        </w:tc>
        <w:tc>
          <w:tcPr>
            <w:tcW w:w="7520" w:type="dxa"/>
            <w:vAlign w:val="bottom"/>
            <w:gridSpan w:val="2"/>
          </w:tcPr>
          <w:p>
            <w:pPr>
              <w:jc w:val="right"/>
              <w:ind w:right="1697"/>
              <w:spacing w:after="0"/>
              <w:rPr>
                <w:sz w:val="20"/>
                <w:szCs w:val="20"/>
                <w:color w:val="auto"/>
              </w:rPr>
            </w:pPr>
            <w:r>
              <w:rPr>
                <w:rFonts w:ascii="Arial" w:cs="Arial" w:eastAsia="Arial" w:hAnsi="Arial"/>
                <w:sz w:val="17"/>
                <w:szCs w:val="17"/>
                <w:color w:val="auto"/>
              </w:rPr>
              <w:t>6.01</w:t>
            </w:r>
          </w:p>
        </w:tc>
      </w:tr>
      <w:tr>
        <w:trPr>
          <w:trHeight w:val="198"/>
        </w:trPr>
        <w:tc>
          <w:tcPr>
            <w:tcW w:w="3560" w:type="dxa"/>
            <w:vAlign w:val="bottom"/>
          </w:tcPr>
          <w:p>
            <w:pPr>
              <w:spacing w:after="0"/>
              <w:rPr>
                <w:sz w:val="17"/>
                <w:szCs w:val="17"/>
                <w:color w:val="auto"/>
              </w:rPr>
            </w:pPr>
          </w:p>
        </w:tc>
        <w:tc>
          <w:tcPr>
            <w:tcW w:w="7520" w:type="dxa"/>
            <w:vAlign w:val="bottom"/>
            <w:gridSpan w:val="2"/>
          </w:tcPr>
          <w:p>
            <w:pPr>
              <w:jc w:val="right"/>
              <w:ind w:right="1697"/>
              <w:spacing w:after="0"/>
              <w:rPr>
                <w:sz w:val="20"/>
                <w:szCs w:val="20"/>
                <w:color w:val="auto"/>
              </w:rPr>
            </w:pPr>
            <w:r>
              <w:rPr>
                <w:rFonts w:ascii="Arial" w:cs="Arial" w:eastAsia="Arial" w:hAnsi="Arial"/>
                <w:sz w:val="17"/>
                <w:szCs w:val="17"/>
                <w:color w:val="auto"/>
              </w:rPr>
              <w:t>6.02</w:t>
            </w:r>
          </w:p>
        </w:tc>
      </w:tr>
      <w:tr>
        <w:trPr>
          <w:trHeight w:val="198"/>
        </w:trPr>
        <w:tc>
          <w:tcPr>
            <w:tcW w:w="3560" w:type="dxa"/>
            <w:vAlign w:val="bottom"/>
          </w:tcPr>
          <w:p>
            <w:pPr>
              <w:spacing w:after="0"/>
              <w:rPr>
                <w:sz w:val="20"/>
                <w:szCs w:val="20"/>
                <w:color w:val="auto"/>
              </w:rPr>
            </w:pPr>
            <w:r>
              <w:rPr>
                <w:rFonts w:ascii="Arial" w:cs="Arial" w:eastAsia="Arial" w:hAnsi="Arial"/>
                <w:sz w:val="17"/>
                <w:szCs w:val="17"/>
                <w:color w:val="auto"/>
              </w:rPr>
              <w:t>315(e)</w:t>
            </w:r>
          </w:p>
        </w:tc>
        <w:tc>
          <w:tcPr>
            <w:tcW w:w="7520" w:type="dxa"/>
            <w:vAlign w:val="bottom"/>
            <w:gridSpan w:val="2"/>
          </w:tcPr>
          <w:p>
            <w:pPr>
              <w:jc w:val="right"/>
              <w:ind w:right="1697"/>
              <w:spacing w:after="0"/>
              <w:rPr>
                <w:sz w:val="20"/>
                <w:szCs w:val="20"/>
                <w:color w:val="auto"/>
              </w:rPr>
            </w:pPr>
            <w:r>
              <w:rPr>
                <w:rFonts w:ascii="Arial" w:cs="Arial" w:eastAsia="Arial" w:hAnsi="Arial"/>
                <w:sz w:val="17"/>
                <w:szCs w:val="17"/>
                <w:color w:val="auto"/>
              </w:rPr>
              <w:t>5.12</w:t>
            </w:r>
          </w:p>
        </w:tc>
      </w:tr>
      <w:tr>
        <w:trPr>
          <w:trHeight w:val="198"/>
        </w:trPr>
        <w:tc>
          <w:tcPr>
            <w:tcW w:w="3560" w:type="dxa"/>
            <w:vAlign w:val="bottom"/>
          </w:tcPr>
          <w:p>
            <w:pPr>
              <w:spacing w:after="0"/>
              <w:rPr>
                <w:sz w:val="20"/>
                <w:szCs w:val="20"/>
                <w:color w:val="auto"/>
              </w:rPr>
            </w:pPr>
            <w:r>
              <w:rPr>
                <w:rFonts w:ascii="Arial" w:cs="Arial" w:eastAsia="Arial" w:hAnsi="Arial"/>
                <w:sz w:val="17"/>
                <w:szCs w:val="17"/>
                <w:color w:val="auto"/>
              </w:rPr>
              <w:t>316(a)</w:t>
            </w:r>
          </w:p>
        </w:tc>
        <w:tc>
          <w:tcPr>
            <w:tcW w:w="7520" w:type="dxa"/>
            <w:vAlign w:val="bottom"/>
            <w:gridSpan w:val="2"/>
          </w:tcPr>
          <w:p>
            <w:pPr>
              <w:jc w:val="right"/>
              <w:ind w:right="1697"/>
              <w:spacing w:after="0"/>
              <w:rPr>
                <w:sz w:val="20"/>
                <w:szCs w:val="20"/>
                <w:color w:val="auto"/>
              </w:rPr>
            </w:pPr>
            <w:r>
              <w:rPr>
                <w:rFonts w:ascii="Arial" w:cs="Arial" w:eastAsia="Arial" w:hAnsi="Arial"/>
                <w:sz w:val="17"/>
                <w:szCs w:val="17"/>
                <w:color w:val="auto"/>
              </w:rPr>
              <w:t>5.09</w:t>
            </w:r>
          </w:p>
        </w:tc>
      </w:tr>
      <w:tr>
        <w:trPr>
          <w:trHeight w:val="198"/>
        </w:trPr>
        <w:tc>
          <w:tcPr>
            <w:tcW w:w="3560" w:type="dxa"/>
            <w:vAlign w:val="bottom"/>
          </w:tcPr>
          <w:p>
            <w:pPr>
              <w:spacing w:after="0"/>
              <w:rPr>
                <w:sz w:val="17"/>
                <w:szCs w:val="17"/>
                <w:color w:val="auto"/>
              </w:rPr>
            </w:pPr>
          </w:p>
        </w:tc>
        <w:tc>
          <w:tcPr>
            <w:tcW w:w="7520" w:type="dxa"/>
            <w:vAlign w:val="bottom"/>
            <w:gridSpan w:val="2"/>
          </w:tcPr>
          <w:p>
            <w:pPr>
              <w:jc w:val="right"/>
              <w:ind w:right="1697"/>
              <w:spacing w:after="0"/>
              <w:rPr>
                <w:sz w:val="20"/>
                <w:szCs w:val="20"/>
                <w:color w:val="auto"/>
              </w:rPr>
            </w:pPr>
            <w:r>
              <w:rPr>
                <w:rFonts w:ascii="Arial" w:cs="Arial" w:eastAsia="Arial" w:hAnsi="Arial"/>
                <w:sz w:val="17"/>
                <w:szCs w:val="17"/>
                <w:color w:val="auto"/>
              </w:rPr>
              <w:t>5.10</w:t>
            </w:r>
          </w:p>
        </w:tc>
      </w:tr>
      <w:tr>
        <w:trPr>
          <w:trHeight w:val="198"/>
        </w:trPr>
        <w:tc>
          <w:tcPr>
            <w:tcW w:w="3560" w:type="dxa"/>
            <w:vAlign w:val="bottom"/>
          </w:tcPr>
          <w:p>
            <w:pPr>
              <w:spacing w:after="0"/>
              <w:rPr>
                <w:sz w:val="17"/>
                <w:szCs w:val="17"/>
                <w:color w:val="auto"/>
              </w:rPr>
            </w:pPr>
          </w:p>
        </w:tc>
        <w:tc>
          <w:tcPr>
            <w:tcW w:w="7520" w:type="dxa"/>
            <w:vAlign w:val="bottom"/>
            <w:gridSpan w:val="2"/>
          </w:tcPr>
          <w:p>
            <w:pPr>
              <w:jc w:val="right"/>
              <w:ind w:right="1697"/>
              <w:spacing w:after="0"/>
              <w:rPr>
                <w:sz w:val="20"/>
                <w:szCs w:val="20"/>
                <w:color w:val="auto"/>
              </w:rPr>
            </w:pPr>
            <w:r>
              <w:rPr>
                <w:rFonts w:ascii="Arial" w:cs="Arial" w:eastAsia="Arial" w:hAnsi="Arial"/>
                <w:sz w:val="17"/>
                <w:szCs w:val="17"/>
                <w:color w:val="auto"/>
              </w:rPr>
              <w:t>7.04</w:t>
            </w:r>
          </w:p>
        </w:tc>
      </w:tr>
      <w:tr>
        <w:trPr>
          <w:trHeight w:val="198"/>
        </w:trPr>
        <w:tc>
          <w:tcPr>
            <w:tcW w:w="3560" w:type="dxa"/>
            <w:vAlign w:val="bottom"/>
          </w:tcPr>
          <w:p>
            <w:pPr>
              <w:spacing w:after="0"/>
              <w:rPr>
                <w:sz w:val="20"/>
                <w:szCs w:val="20"/>
                <w:color w:val="auto"/>
              </w:rPr>
            </w:pPr>
            <w:r>
              <w:rPr>
                <w:rFonts w:ascii="Arial" w:cs="Arial" w:eastAsia="Arial" w:hAnsi="Arial"/>
                <w:sz w:val="17"/>
                <w:szCs w:val="17"/>
                <w:color w:val="auto"/>
              </w:rPr>
              <w:t>316(b)</w:t>
            </w:r>
          </w:p>
        </w:tc>
        <w:tc>
          <w:tcPr>
            <w:tcW w:w="7520" w:type="dxa"/>
            <w:vAlign w:val="bottom"/>
            <w:gridSpan w:val="2"/>
          </w:tcPr>
          <w:p>
            <w:pPr>
              <w:jc w:val="right"/>
              <w:ind w:right="1697"/>
              <w:spacing w:after="0"/>
              <w:rPr>
                <w:sz w:val="20"/>
                <w:szCs w:val="20"/>
                <w:color w:val="auto"/>
              </w:rPr>
            </w:pPr>
            <w:r>
              <w:rPr>
                <w:rFonts w:ascii="Arial" w:cs="Arial" w:eastAsia="Arial" w:hAnsi="Arial"/>
                <w:sz w:val="17"/>
                <w:szCs w:val="17"/>
                <w:color w:val="auto"/>
              </w:rPr>
              <w:t>5.06</w:t>
            </w:r>
          </w:p>
        </w:tc>
      </w:tr>
      <w:tr>
        <w:trPr>
          <w:trHeight w:val="198"/>
        </w:trPr>
        <w:tc>
          <w:tcPr>
            <w:tcW w:w="3560" w:type="dxa"/>
            <w:vAlign w:val="bottom"/>
          </w:tcPr>
          <w:p>
            <w:pPr>
              <w:spacing w:after="0"/>
              <w:rPr>
                <w:sz w:val="17"/>
                <w:szCs w:val="17"/>
                <w:color w:val="auto"/>
              </w:rPr>
            </w:pPr>
          </w:p>
        </w:tc>
        <w:tc>
          <w:tcPr>
            <w:tcW w:w="7520" w:type="dxa"/>
            <w:vAlign w:val="bottom"/>
            <w:gridSpan w:val="2"/>
          </w:tcPr>
          <w:p>
            <w:pPr>
              <w:jc w:val="right"/>
              <w:ind w:right="1697"/>
              <w:spacing w:after="0"/>
              <w:rPr>
                <w:sz w:val="20"/>
                <w:szCs w:val="20"/>
                <w:color w:val="auto"/>
              </w:rPr>
            </w:pPr>
            <w:r>
              <w:rPr>
                <w:rFonts w:ascii="Arial" w:cs="Arial" w:eastAsia="Arial" w:hAnsi="Arial"/>
                <w:sz w:val="17"/>
                <w:szCs w:val="17"/>
                <w:color w:val="auto"/>
              </w:rPr>
              <w:t>5.10</w:t>
            </w:r>
          </w:p>
        </w:tc>
      </w:tr>
      <w:tr>
        <w:trPr>
          <w:trHeight w:val="198"/>
        </w:trPr>
        <w:tc>
          <w:tcPr>
            <w:tcW w:w="3560" w:type="dxa"/>
            <w:vAlign w:val="bottom"/>
          </w:tcPr>
          <w:p>
            <w:pPr>
              <w:spacing w:after="0"/>
              <w:rPr>
                <w:sz w:val="20"/>
                <w:szCs w:val="20"/>
                <w:color w:val="auto"/>
              </w:rPr>
            </w:pPr>
            <w:r>
              <w:rPr>
                <w:rFonts w:ascii="Arial" w:cs="Arial" w:eastAsia="Arial" w:hAnsi="Arial"/>
                <w:sz w:val="17"/>
                <w:szCs w:val="17"/>
                <w:color w:val="auto"/>
              </w:rPr>
              <w:t>316(c)</w:t>
            </w:r>
          </w:p>
        </w:tc>
        <w:tc>
          <w:tcPr>
            <w:tcW w:w="7520" w:type="dxa"/>
            <w:vAlign w:val="bottom"/>
            <w:gridSpan w:val="2"/>
          </w:tcPr>
          <w:p>
            <w:pPr>
              <w:jc w:val="right"/>
              <w:ind w:right="1697"/>
              <w:spacing w:after="0"/>
              <w:rPr>
                <w:sz w:val="20"/>
                <w:szCs w:val="20"/>
                <w:color w:val="auto"/>
              </w:rPr>
            </w:pPr>
            <w:r>
              <w:rPr>
                <w:rFonts w:ascii="Arial" w:cs="Arial" w:eastAsia="Arial" w:hAnsi="Arial"/>
                <w:sz w:val="17"/>
                <w:szCs w:val="17"/>
                <w:color w:val="auto"/>
              </w:rPr>
              <w:t>7.02</w:t>
            </w:r>
          </w:p>
        </w:tc>
      </w:tr>
      <w:tr>
        <w:trPr>
          <w:trHeight w:val="198"/>
        </w:trPr>
        <w:tc>
          <w:tcPr>
            <w:tcW w:w="3560" w:type="dxa"/>
            <w:vAlign w:val="bottom"/>
          </w:tcPr>
          <w:p>
            <w:pPr>
              <w:spacing w:after="0"/>
              <w:rPr>
                <w:sz w:val="20"/>
                <w:szCs w:val="20"/>
                <w:color w:val="auto"/>
              </w:rPr>
            </w:pPr>
            <w:r>
              <w:rPr>
                <w:rFonts w:ascii="Arial" w:cs="Arial" w:eastAsia="Arial" w:hAnsi="Arial"/>
                <w:sz w:val="17"/>
                <w:szCs w:val="17"/>
                <w:color w:val="auto"/>
              </w:rPr>
              <w:t>317(a)</w:t>
            </w:r>
          </w:p>
        </w:tc>
        <w:tc>
          <w:tcPr>
            <w:tcW w:w="7520" w:type="dxa"/>
            <w:vAlign w:val="bottom"/>
            <w:gridSpan w:val="2"/>
          </w:tcPr>
          <w:p>
            <w:pPr>
              <w:jc w:val="right"/>
              <w:ind w:right="1697"/>
              <w:spacing w:after="0"/>
              <w:rPr>
                <w:sz w:val="20"/>
                <w:szCs w:val="20"/>
                <w:color w:val="auto"/>
              </w:rPr>
            </w:pPr>
            <w:r>
              <w:rPr>
                <w:rFonts w:ascii="Arial" w:cs="Arial" w:eastAsia="Arial" w:hAnsi="Arial"/>
                <w:sz w:val="17"/>
                <w:szCs w:val="17"/>
                <w:color w:val="auto"/>
              </w:rPr>
              <w:t>5.04</w:t>
            </w:r>
          </w:p>
        </w:tc>
      </w:tr>
      <w:tr>
        <w:trPr>
          <w:trHeight w:val="198"/>
        </w:trPr>
        <w:tc>
          <w:tcPr>
            <w:tcW w:w="3560" w:type="dxa"/>
            <w:vAlign w:val="bottom"/>
          </w:tcPr>
          <w:p>
            <w:pPr>
              <w:spacing w:after="0"/>
              <w:rPr>
                <w:sz w:val="20"/>
                <w:szCs w:val="20"/>
                <w:color w:val="auto"/>
              </w:rPr>
            </w:pPr>
            <w:r>
              <w:rPr>
                <w:rFonts w:ascii="Arial" w:cs="Arial" w:eastAsia="Arial" w:hAnsi="Arial"/>
                <w:sz w:val="17"/>
                <w:szCs w:val="17"/>
                <w:color w:val="auto"/>
              </w:rPr>
              <w:t>317(b)</w:t>
            </w:r>
          </w:p>
        </w:tc>
        <w:tc>
          <w:tcPr>
            <w:tcW w:w="7520" w:type="dxa"/>
            <w:vAlign w:val="bottom"/>
            <w:gridSpan w:val="2"/>
          </w:tcPr>
          <w:p>
            <w:pPr>
              <w:jc w:val="right"/>
              <w:ind w:right="1697"/>
              <w:spacing w:after="0"/>
              <w:rPr>
                <w:sz w:val="20"/>
                <w:szCs w:val="20"/>
                <w:color w:val="auto"/>
              </w:rPr>
            </w:pPr>
            <w:r>
              <w:rPr>
                <w:rFonts w:ascii="Arial" w:cs="Arial" w:eastAsia="Arial" w:hAnsi="Arial"/>
                <w:sz w:val="17"/>
                <w:szCs w:val="17"/>
                <w:color w:val="auto"/>
              </w:rPr>
              <w:t>3.04</w:t>
            </w:r>
          </w:p>
        </w:tc>
      </w:tr>
      <w:tr>
        <w:trPr>
          <w:trHeight w:val="209"/>
        </w:trPr>
        <w:tc>
          <w:tcPr>
            <w:tcW w:w="3560" w:type="dxa"/>
            <w:vAlign w:val="bottom"/>
          </w:tcPr>
          <w:p>
            <w:pPr>
              <w:spacing w:after="0"/>
              <w:rPr>
                <w:sz w:val="20"/>
                <w:szCs w:val="20"/>
                <w:color w:val="auto"/>
              </w:rPr>
            </w:pPr>
            <w:r>
              <w:rPr>
                <w:rFonts w:ascii="Arial" w:cs="Arial" w:eastAsia="Arial" w:hAnsi="Arial"/>
                <w:sz w:val="17"/>
                <w:szCs w:val="17"/>
                <w:color w:val="auto"/>
              </w:rPr>
              <w:t>318(a)</w:t>
            </w:r>
          </w:p>
        </w:tc>
        <w:tc>
          <w:tcPr>
            <w:tcW w:w="7520" w:type="dxa"/>
            <w:vAlign w:val="bottom"/>
            <w:gridSpan w:val="2"/>
          </w:tcPr>
          <w:p>
            <w:pPr>
              <w:jc w:val="right"/>
              <w:ind w:right="1617"/>
              <w:spacing w:after="0"/>
              <w:rPr>
                <w:sz w:val="20"/>
                <w:szCs w:val="20"/>
                <w:color w:val="auto"/>
              </w:rPr>
            </w:pPr>
            <w:r>
              <w:rPr>
                <w:rFonts w:ascii="Arial" w:cs="Arial" w:eastAsia="Arial" w:hAnsi="Arial"/>
                <w:sz w:val="17"/>
                <w:szCs w:val="17"/>
                <w:color w:val="auto"/>
              </w:rPr>
              <w:t>11.07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158750</wp:posOffset>
            </wp:positionV>
            <wp:extent cx="178752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7">
                      <a:extLst>
                        <a:ext uri="{28A0092B-C50C-407E-A947-70E740481C1C}"/>
                      </a:extLst>
                    </a:blip>
                    <a:srcRect/>
                    <a:stretch>
                      <a:fillRect/>
                    </a:stretch>
                  </pic:blipFill>
                  <pic:spPr bwMode="auto">
                    <a:xfrm>
                      <a:off x="0" y="0"/>
                      <a:ext cx="1787525" cy="7620"/>
                    </a:xfrm>
                    <a:prstGeom prst="rect">
                      <a:avLst/>
                    </a:prstGeom>
                    <a:noFill/>
                  </pic:spPr>
                </pic:pic>
              </a:graphicData>
            </a:graphic>
          </wp:anchor>
        </w:drawing>
      </w:r>
    </w:p>
    <w:p>
      <w:pPr>
        <w:spacing w:after="0" w:line="251" w:lineRule="exact"/>
        <w:rPr>
          <w:sz w:val="20"/>
          <w:szCs w:val="20"/>
          <w:color w:val="auto"/>
        </w:rPr>
      </w:pPr>
    </w:p>
    <w:p>
      <w:pPr>
        <w:ind w:left="520" w:hanging="107"/>
        <w:spacing w:after="0"/>
        <w:tabs>
          <w:tab w:leader="none" w:pos="520" w:val="left"/>
        </w:tabs>
        <w:numPr>
          <w:ilvl w:val="0"/>
          <w:numId w:val="72"/>
        </w:numPr>
        <w:rPr>
          <w:rFonts w:ascii="Arial" w:cs="Arial" w:eastAsia="Arial" w:hAnsi="Arial"/>
          <w:sz w:val="25"/>
          <w:szCs w:val="25"/>
          <w:color w:val="auto"/>
          <w:vertAlign w:val="superscript"/>
        </w:rPr>
      </w:pPr>
      <w:r>
        <w:rPr>
          <w:rFonts w:ascii="Arial" w:cs="Arial" w:eastAsia="Arial" w:hAnsi="Arial"/>
          <w:sz w:val="15"/>
          <w:szCs w:val="15"/>
          <w:color w:val="auto"/>
        </w:rPr>
        <w:t>This Cross-Reference Table does not constitute part of the Indenture and shall not have any bearing on the interpretation of any of its terms or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260985</wp:posOffset>
            </wp:positionV>
            <wp:extent cx="714375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8">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080"/>
          </w:cols>
          <w:pgMar w:left="400" w:top="848" w:right="41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13"/>
        </w:trPr>
        <w:tc>
          <w:tcPr>
            <w:tcW w:w="1120" w:type="dxa"/>
            <w:vAlign w:val="bottom"/>
          </w:tcPr>
          <w:p>
            <w:pPr>
              <w:spacing w:after="0"/>
              <w:rPr>
                <w:sz w:val="18"/>
                <w:szCs w:val="18"/>
                <w:color w:val="auto"/>
              </w:rPr>
            </w:pPr>
          </w:p>
        </w:tc>
        <w:tc>
          <w:tcPr>
            <w:tcW w:w="7980" w:type="dxa"/>
            <w:vAlign w:val="bottom"/>
          </w:tcPr>
          <w:p>
            <w:pPr>
              <w:ind w:left="3620"/>
              <w:spacing w:after="0"/>
              <w:rPr>
                <w:sz w:val="20"/>
                <w:szCs w:val="20"/>
                <w:color w:val="auto"/>
              </w:rPr>
            </w:pPr>
            <w:r>
              <w:rPr>
                <w:rFonts w:ascii="Arial" w:cs="Arial" w:eastAsia="Arial" w:hAnsi="Arial"/>
                <w:sz w:val="17"/>
                <w:szCs w:val="17"/>
                <w:b w:val="1"/>
                <w:bCs w:val="1"/>
                <w:color w:val="auto"/>
              </w:rPr>
              <w:t>TABLE OF CONTENTS</w:t>
            </w:r>
          </w:p>
        </w:tc>
        <w:tc>
          <w:tcPr>
            <w:tcW w:w="2140" w:type="dxa"/>
            <w:vAlign w:val="bottom"/>
          </w:tcPr>
          <w:p>
            <w:pPr>
              <w:spacing w:after="0"/>
              <w:rPr>
                <w:sz w:val="18"/>
                <w:szCs w:val="18"/>
                <w:color w:val="auto"/>
              </w:rPr>
            </w:pPr>
          </w:p>
        </w:tc>
      </w:tr>
      <w:tr>
        <w:trPr>
          <w:trHeight w:val="397"/>
        </w:trPr>
        <w:tc>
          <w:tcPr>
            <w:tcW w:w="11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7"/>
                <w:szCs w:val="17"/>
                <w:b w:val="1"/>
                <w:bCs w:val="1"/>
                <w:color w:val="auto"/>
              </w:rPr>
              <w:t>Page</w:t>
            </w:r>
          </w:p>
        </w:tc>
      </w:tr>
      <w:tr>
        <w:trPr>
          <w:trHeight w:val="386"/>
        </w:trPr>
        <w:tc>
          <w:tcPr>
            <w:tcW w:w="1120" w:type="dxa"/>
            <w:vAlign w:val="bottom"/>
          </w:tcPr>
          <w:p>
            <w:pPr>
              <w:spacing w:after="0"/>
              <w:rPr>
                <w:sz w:val="20"/>
                <w:szCs w:val="20"/>
                <w:color w:val="auto"/>
              </w:rPr>
            </w:pPr>
            <w:r>
              <w:rPr>
                <w:rFonts w:ascii="Arial" w:cs="Arial" w:eastAsia="Arial" w:hAnsi="Arial"/>
                <w:sz w:val="17"/>
                <w:szCs w:val="17"/>
                <w:color w:val="auto"/>
              </w:rPr>
              <w:t>ARTICLE 1</w:t>
            </w:r>
          </w:p>
        </w:tc>
        <w:tc>
          <w:tcPr>
            <w:tcW w:w="7980" w:type="dxa"/>
            <w:vAlign w:val="bottom"/>
          </w:tcPr>
          <w:p>
            <w:pPr>
              <w:spacing w:after="0"/>
              <w:rPr>
                <w:sz w:val="20"/>
                <w:szCs w:val="20"/>
                <w:color w:val="auto"/>
              </w:rPr>
            </w:pPr>
            <w:r>
              <w:rPr>
                <w:rFonts w:ascii="Arial" w:cs="Arial" w:eastAsia="Arial" w:hAnsi="Arial"/>
                <w:sz w:val="17"/>
                <w:szCs w:val="17"/>
                <w:color w:val="auto"/>
              </w:rPr>
              <w:t>DEFINITIONS</w:t>
            </w:r>
          </w:p>
        </w:tc>
        <w:tc>
          <w:tcPr>
            <w:tcW w:w="21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9"/>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1.01</w:t>
            </w:r>
          </w:p>
        </w:tc>
        <w:tc>
          <w:tcPr>
            <w:tcW w:w="7980" w:type="dxa"/>
            <w:vAlign w:val="bottom"/>
          </w:tcPr>
          <w:p>
            <w:pPr>
              <w:ind w:left="580"/>
              <w:spacing w:after="0"/>
              <w:rPr>
                <w:sz w:val="20"/>
                <w:szCs w:val="20"/>
                <w:color w:val="auto"/>
              </w:rPr>
            </w:pPr>
            <w:r>
              <w:rPr>
                <w:rFonts w:ascii="Arial" w:cs="Arial" w:eastAsia="Arial" w:hAnsi="Arial"/>
                <w:sz w:val="17"/>
                <w:szCs w:val="17"/>
                <w:color w:val="auto"/>
              </w:rPr>
              <w:t>Certain Terms Defined</w:t>
            </w:r>
          </w:p>
        </w:tc>
        <w:tc>
          <w:tcPr>
            <w:tcW w:w="21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411"/>
        </w:trPr>
        <w:tc>
          <w:tcPr>
            <w:tcW w:w="1120" w:type="dxa"/>
            <w:vAlign w:val="bottom"/>
          </w:tcPr>
          <w:p>
            <w:pPr>
              <w:spacing w:after="0"/>
              <w:rPr>
                <w:sz w:val="20"/>
                <w:szCs w:val="20"/>
                <w:color w:val="auto"/>
              </w:rPr>
            </w:pPr>
            <w:r>
              <w:rPr>
                <w:rFonts w:ascii="Arial" w:cs="Arial" w:eastAsia="Arial" w:hAnsi="Arial"/>
                <w:sz w:val="17"/>
                <w:szCs w:val="17"/>
                <w:color w:val="auto"/>
              </w:rPr>
              <w:t>ARTICLE 2</w:t>
            </w:r>
          </w:p>
        </w:tc>
        <w:tc>
          <w:tcPr>
            <w:tcW w:w="7980" w:type="dxa"/>
            <w:vAlign w:val="bottom"/>
          </w:tcPr>
          <w:p>
            <w:pPr>
              <w:spacing w:after="0"/>
              <w:rPr>
                <w:sz w:val="20"/>
                <w:szCs w:val="20"/>
                <w:color w:val="auto"/>
              </w:rPr>
            </w:pPr>
            <w:r>
              <w:rPr>
                <w:rFonts w:ascii="Arial" w:cs="Arial" w:eastAsia="Arial" w:hAnsi="Arial"/>
                <w:sz w:val="17"/>
                <w:szCs w:val="17"/>
                <w:color w:val="auto"/>
              </w:rPr>
              <w:t>SECURITIES</w:t>
            </w:r>
          </w:p>
        </w:tc>
        <w:tc>
          <w:tcPr>
            <w:tcW w:w="214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2.01</w:t>
            </w:r>
          </w:p>
        </w:tc>
        <w:tc>
          <w:tcPr>
            <w:tcW w:w="7980" w:type="dxa"/>
            <w:vAlign w:val="bottom"/>
          </w:tcPr>
          <w:p>
            <w:pPr>
              <w:ind w:left="580"/>
              <w:spacing w:after="0"/>
              <w:rPr>
                <w:sz w:val="20"/>
                <w:szCs w:val="20"/>
                <w:color w:val="auto"/>
              </w:rPr>
            </w:pPr>
            <w:r>
              <w:rPr>
                <w:rFonts w:ascii="Arial" w:cs="Arial" w:eastAsia="Arial" w:hAnsi="Arial"/>
                <w:sz w:val="17"/>
                <w:szCs w:val="17"/>
                <w:color w:val="auto"/>
              </w:rPr>
              <w:t>Forms Generally</w:t>
            </w:r>
          </w:p>
        </w:tc>
        <w:tc>
          <w:tcPr>
            <w:tcW w:w="214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2.02</w:t>
            </w:r>
          </w:p>
        </w:tc>
        <w:tc>
          <w:tcPr>
            <w:tcW w:w="7980" w:type="dxa"/>
            <w:vAlign w:val="bottom"/>
          </w:tcPr>
          <w:p>
            <w:pPr>
              <w:ind w:left="580"/>
              <w:spacing w:after="0"/>
              <w:rPr>
                <w:sz w:val="20"/>
                <w:szCs w:val="20"/>
                <w:color w:val="auto"/>
              </w:rPr>
            </w:pPr>
            <w:r>
              <w:rPr>
                <w:rFonts w:ascii="Arial" w:cs="Arial" w:eastAsia="Arial" w:hAnsi="Arial"/>
                <w:sz w:val="17"/>
                <w:szCs w:val="17"/>
                <w:color w:val="auto"/>
              </w:rPr>
              <w:t>Form of Trustee’s Certificate of Authentication</w:t>
            </w:r>
          </w:p>
        </w:tc>
        <w:tc>
          <w:tcPr>
            <w:tcW w:w="214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2.03</w:t>
            </w:r>
          </w:p>
        </w:tc>
        <w:tc>
          <w:tcPr>
            <w:tcW w:w="7980" w:type="dxa"/>
            <w:vAlign w:val="bottom"/>
          </w:tcPr>
          <w:p>
            <w:pPr>
              <w:ind w:left="580"/>
              <w:spacing w:after="0"/>
              <w:rPr>
                <w:sz w:val="20"/>
                <w:szCs w:val="20"/>
                <w:color w:val="auto"/>
              </w:rPr>
            </w:pPr>
            <w:r>
              <w:rPr>
                <w:rFonts w:ascii="Arial" w:cs="Arial" w:eastAsia="Arial" w:hAnsi="Arial"/>
                <w:sz w:val="17"/>
                <w:szCs w:val="17"/>
                <w:color w:val="auto"/>
              </w:rPr>
              <w:t>Amount Unlimited; Issuable in Series</w:t>
            </w:r>
          </w:p>
        </w:tc>
        <w:tc>
          <w:tcPr>
            <w:tcW w:w="214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2.04</w:t>
            </w:r>
          </w:p>
        </w:tc>
        <w:tc>
          <w:tcPr>
            <w:tcW w:w="7980" w:type="dxa"/>
            <w:vAlign w:val="bottom"/>
          </w:tcPr>
          <w:p>
            <w:pPr>
              <w:ind w:left="580"/>
              <w:spacing w:after="0"/>
              <w:rPr>
                <w:sz w:val="20"/>
                <w:szCs w:val="20"/>
                <w:color w:val="auto"/>
              </w:rPr>
            </w:pPr>
            <w:r>
              <w:rPr>
                <w:rFonts w:ascii="Arial" w:cs="Arial" w:eastAsia="Arial" w:hAnsi="Arial"/>
                <w:sz w:val="17"/>
                <w:szCs w:val="17"/>
                <w:color w:val="auto"/>
              </w:rPr>
              <w:t>Authentication and Delivery of Securities</w:t>
            </w:r>
          </w:p>
        </w:tc>
        <w:tc>
          <w:tcPr>
            <w:tcW w:w="214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2.05</w:t>
            </w:r>
          </w:p>
        </w:tc>
        <w:tc>
          <w:tcPr>
            <w:tcW w:w="7980" w:type="dxa"/>
            <w:vAlign w:val="bottom"/>
          </w:tcPr>
          <w:p>
            <w:pPr>
              <w:ind w:left="580"/>
              <w:spacing w:after="0"/>
              <w:rPr>
                <w:sz w:val="20"/>
                <w:szCs w:val="20"/>
                <w:color w:val="auto"/>
              </w:rPr>
            </w:pPr>
            <w:r>
              <w:rPr>
                <w:rFonts w:ascii="Arial" w:cs="Arial" w:eastAsia="Arial" w:hAnsi="Arial"/>
                <w:sz w:val="17"/>
                <w:szCs w:val="17"/>
                <w:color w:val="auto"/>
              </w:rPr>
              <w:t>Execution of Securities</w:t>
            </w:r>
          </w:p>
        </w:tc>
        <w:tc>
          <w:tcPr>
            <w:tcW w:w="214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2.06</w:t>
            </w:r>
          </w:p>
        </w:tc>
        <w:tc>
          <w:tcPr>
            <w:tcW w:w="7980" w:type="dxa"/>
            <w:vAlign w:val="bottom"/>
          </w:tcPr>
          <w:p>
            <w:pPr>
              <w:ind w:left="580"/>
              <w:spacing w:after="0"/>
              <w:rPr>
                <w:sz w:val="20"/>
                <w:szCs w:val="20"/>
                <w:color w:val="auto"/>
              </w:rPr>
            </w:pPr>
            <w:r>
              <w:rPr>
                <w:rFonts w:ascii="Arial" w:cs="Arial" w:eastAsia="Arial" w:hAnsi="Arial"/>
                <w:sz w:val="17"/>
                <w:szCs w:val="17"/>
                <w:color w:val="auto"/>
              </w:rPr>
              <w:t>Certificate of Authentication</w:t>
            </w:r>
          </w:p>
        </w:tc>
        <w:tc>
          <w:tcPr>
            <w:tcW w:w="214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2.07</w:t>
            </w:r>
          </w:p>
        </w:tc>
        <w:tc>
          <w:tcPr>
            <w:tcW w:w="7980" w:type="dxa"/>
            <w:vAlign w:val="bottom"/>
          </w:tcPr>
          <w:p>
            <w:pPr>
              <w:ind w:left="580"/>
              <w:spacing w:after="0"/>
              <w:rPr>
                <w:sz w:val="20"/>
                <w:szCs w:val="20"/>
                <w:color w:val="auto"/>
              </w:rPr>
            </w:pPr>
            <w:r>
              <w:rPr>
                <w:rFonts w:ascii="Arial" w:cs="Arial" w:eastAsia="Arial" w:hAnsi="Arial"/>
                <w:sz w:val="17"/>
                <w:szCs w:val="17"/>
                <w:color w:val="auto"/>
              </w:rPr>
              <w:t>Denomination and Date of Securities; Payments of Interest</w:t>
            </w:r>
          </w:p>
        </w:tc>
        <w:tc>
          <w:tcPr>
            <w:tcW w:w="214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2.08</w:t>
            </w:r>
          </w:p>
        </w:tc>
        <w:tc>
          <w:tcPr>
            <w:tcW w:w="7980" w:type="dxa"/>
            <w:vAlign w:val="bottom"/>
          </w:tcPr>
          <w:p>
            <w:pPr>
              <w:ind w:left="580"/>
              <w:spacing w:after="0"/>
              <w:rPr>
                <w:sz w:val="20"/>
                <w:szCs w:val="20"/>
                <w:color w:val="auto"/>
              </w:rPr>
            </w:pPr>
            <w:r>
              <w:rPr>
                <w:rFonts w:ascii="Arial" w:cs="Arial" w:eastAsia="Arial" w:hAnsi="Arial"/>
                <w:sz w:val="17"/>
                <w:szCs w:val="17"/>
                <w:color w:val="auto"/>
              </w:rPr>
              <w:t>Registration, Transfer and Exchange</w:t>
            </w:r>
          </w:p>
        </w:tc>
        <w:tc>
          <w:tcPr>
            <w:tcW w:w="214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2.09</w:t>
            </w:r>
          </w:p>
        </w:tc>
        <w:tc>
          <w:tcPr>
            <w:tcW w:w="7980" w:type="dxa"/>
            <w:vAlign w:val="bottom"/>
          </w:tcPr>
          <w:p>
            <w:pPr>
              <w:ind w:left="580"/>
              <w:spacing w:after="0"/>
              <w:rPr>
                <w:sz w:val="20"/>
                <w:szCs w:val="20"/>
                <w:color w:val="auto"/>
              </w:rPr>
            </w:pPr>
            <w:r>
              <w:rPr>
                <w:rFonts w:ascii="Arial" w:cs="Arial" w:eastAsia="Arial" w:hAnsi="Arial"/>
                <w:sz w:val="17"/>
                <w:szCs w:val="17"/>
                <w:color w:val="auto"/>
              </w:rPr>
              <w:t>Mutilated, Defaced, Destroyed, Lost and Stolen Securities</w:t>
            </w:r>
          </w:p>
        </w:tc>
        <w:tc>
          <w:tcPr>
            <w:tcW w:w="21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2.10</w:t>
            </w:r>
          </w:p>
        </w:tc>
        <w:tc>
          <w:tcPr>
            <w:tcW w:w="7980" w:type="dxa"/>
            <w:vAlign w:val="bottom"/>
          </w:tcPr>
          <w:p>
            <w:pPr>
              <w:ind w:left="580"/>
              <w:spacing w:after="0"/>
              <w:rPr>
                <w:sz w:val="20"/>
                <w:szCs w:val="20"/>
                <w:color w:val="auto"/>
              </w:rPr>
            </w:pPr>
            <w:r>
              <w:rPr>
                <w:rFonts w:ascii="Arial" w:cs="Arial" w:eastAsia="Arial" w:hAnsi="Arial"/>
                <w:sz w:val="17"/>
                <w:szCs w:val="17"/>
                <w:color w:val="auto"/>
              </w:rPr>
              <w:t>Cancellation of Securities; Destruction Thereof</w:t>
            </w:r>
          </w:p>
        </w:tc>
        <w:tc>
          <w:tcPr>
            <w:tcW w:w="21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2.11</w:t>
            </w:r>
          </w:p>
        </w:tc>
        <w:tc>
          <w:tcPr>
            <w:tcW w:w="7980" w:type="dxa"/>
            <w:vAlign w:val="bottom"/>
          </w:tcPr>
          <w:p>
            <w:pPr>
              <w:ind w:left="580"/>
              <w:spacing w:after="0"/>
              <w:rPr>
                <w:sz w:val="20"/>
                <w:szCs w:val="20"/>
                <w:color w:val="auto"/>
              </w:rPr>
            </w:pPr>
            <w:r>
              <w:rPr>
                <w:rFonts w:ascii="Arial" w:cs="Arial" w:eastAsia="Arial" w:hAnsi="Arial"/>
                <w:sz w:val="17"/>
                <w:szCs w:val="17"/>
                <w:color w:val="auto"/>
              </w:rPr>
              <w:t>Temporary Securities</w:t>
            </w:r>
          </w:p>
        </w:tc>
        <w:tc>
          <w:tcPr>
            <w:tcW w:w="21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09"/>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2.12</w:t>
            </w:r>
          </w:p>
        </w:tc>
        <w:tc>
          <w:tcPr>
            <w:tcW w:w="7980" w:type="dxa"/>
            <w:vAlign w:val="bottom"/>
          </w:tcPr>
          <w:p>
            <w:pPr>
              <w:ind w:left="580"/>
              <w:spacing w:after="0"/>
              <w:rPr>
                <w:sz w:val="20"/>
                <w:szCs w:val="20"/>
                <w:color w:val="auto"/>
              </w:rPr>
            </w:pPr>
            <w:r>
              <w:rPr>
                <w:rFonts w:ascii="Arial" w:cs="Arial" w:eastAsia="Arial" w:hAnsi="Arial"/>
                <w:sz w:val="17"/>
                <w:szCs w:val="17"/>
                <w:color w:val="auto"/>
              </w:rPr>
              <w:t>CUSIP Numbers</w:t>
            </w:r>
          </w:p>
        </w:tc>
        <w:tc>
          <w:tcPr>
            <w:tcW w:w="21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411"/>
        </w:trPr>
        <w:tc>
          <w:tcPr>
            <w:tcW w:w="1120" w:type="dxa"/>
            <w:vAlign w:val="bottom"/>
          </w:tcPr>
          <w:p>
            <w:pPr>
              <w:spacing w:after="0"/>
              <w:rPr>
                <w:sz w:val="20"/>
                <w:szCs w:val="20"/>
                <w:color w:val="auto"/>
              </w:rPr>
            </w:pPr>
            <w:r>
              <w:rPr>
                <w:rFonts w:ascii="Arial" w:cs="Arial" w:eastAsia="Arial" w:hAnsi="Arial"/>
                <w:sz w:val="17"/>
                <w:szCs w:val="17"/>
                <w:color w:val="auto"/>
              </w:rPr>
              <w:t>ARTICLE 3</w:t>
            </w:r>
          </w:p>
        </w:tc>
        <w:tc>
          <w:tcPr>
            <w:tcW w:w="7980" w:type="dxa"/>
            <w:vAlign w:val="bottom"/>
          </w:tcPr>
          <w:p>
            <w:pPr>
              <w:spacing w:after="0"/>
              <w:rPr>
                <w:sz w:val="20"/>
                <w:szCs w:val="20"/>
                <w:color w:val="auto"/>
              </w:rPr>
            </w:pPr>
            <w:r>
              <w:rPr>
                <w:rFonts w:ascii="Arial" w:cs="Arial" w:eastAsia="Arial" w:hAnsi="Arial"/>
                <w:sz w:val="17"/>
                <w:szCs w:val="17"/>
                <w:color w:val="auto"/>
              </w:rPr>
              <w:t>COVENANTS OF THE ISSUER</w:t>
            </w:r>
          </w:p>
        </w:tc>
        <w:tc>
          <w:tcPr>
            <w:tcW w:w="214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3.01</w:t>
            </w:r>
          </w:p>
        </w:tc>
        <w:tc>
          <w:tcPr>
            <w:tcW w:w="7980" w:type="dxa"/>
            <w:vAlign w:val="bottom"/>
          </w:tcPr>
          <w:p>
            <w:pPr>
              <w:ind w:left="580"/>
              <w:spacing w:after="0"/>
              <w:rPr>
                <w:sz w:val="20"/>
                <w:szCs w:val="20"/>
                <w:color w:val="auto"/>
              </w:rPr>
            </w:pPr>
            <w:r>
              <w:rPr>
                <w:rFonts w:ascii="Arial" w:cs="Arial" w:eastAsia="Arial" w:hAnsi="Arial"/>
                <w:sz w:val="17"/>
                <w:szCs w:val="17"/>
                <w:color w:val="auto"/>
              </w:rPr>
              <w:t>Payment of Principal and Interest</w:t>
            </w:r>
          </w:p>
        </w:tc>
        <w:tc>
          <w:tcPr>
            <w:tcW w:w="214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3.02</w:t>
            </w:r>
          </w:p>
        </w:tc>
        <w:tc>
          <w:tcPr>
            <w:tcW w:w="7980" w:type="dxa"/>
            <w:vAlign w:val="bottom"/>
          </w:tcPr>
          <w:p>
            <w:pPr>
              <w:ind w:left="580"/>
              <w:spacing w:after="0"/>
              <w:rPr>
                <w:sz w:val="20"/>
                <w:szCs w:val="20"/>
                <w:color w:val="auto"/>
              </w:rPr>
            </w:pPr>
            <w:r>
              <w:rPr>
                <w:rFonts w:ascii="Arial" w:cs="Arial" w:eastAsia="Arial" w:hAnsi="Arial"/>
                <w:sz w:val="17"/>
                <w:szCs w:val="17"/>
                <w:color w:val="auto"/>
              </w:rPr>
              <w:t>Offices for Payments, Etc</w:t>
            </w:r>
          </w:p>
        </w:tc>
        <w:tc>
          <w:tcPr>
            <w:tcW w:w="214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3.03</w:t>
            </w:r>
          </w:p>
        </w:tc>
        <w:tc>
          <w:tcPr>
            <w:tcW w:w="7980" w:type="dxa"/>
            <w:vAlign w:val="bottom"/>
          </w:tcPr>
          <w:p>
            <w:pPr>
              <w:ind w:left="580"/>
              <w:spacing w:after="0"/>
              <w:rPr>
                <w:sz w:val="20"/>
                <w:szCs w:val="20"/>
                <w:color w:val="auto"/>
              </w:rPr>
            </w:pPr>
            <w:r>
              <w:rPr>
                <w:rFonts w:ascii="Arial" w:cs="Arial" w:eastAsia="Arial" w:hAnsi="Arial"/>
                <w:sz w:val="17"/>
                <w:szCs w:val="17"/>
                <w:color w:val="auto"/>
              </w:rPr>
              <w:t>Appointment to Fill a Vacancy in Office of Trustee</w:t>
            </w:r>
          </w:p>
        </w:tc>
        <w:tc>
          <w:tcPr>
            <w:tcW w:w="214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3.04</w:t>
            </w:r>
          </w:p>
        </w:tc>
        <w:tc>
          <w:tcPr>
            <w:tcW w:w="7980" w:type="dxa"/>
            <w:vAlign w:val="bottom"/>
          </w:tcPr>
          <w:p>
            <w:pPr>
              <w:ind w:left="580"/>
              <w:spacing w:after="0"/>
              <w:rPr>
                <w:sz w:val="20"/>
                <w:szCs w:val="20"/>
                <w:color w:val="auto"/>
              </w:rPr>
            </w:pPr>
            <w:r>
              <w:rPr>
                <w:rFonts w:ascii="Arial" w:cs="Arial" w:eastAsia="Arial" w:hAnsi="Arial"/>
                <w:sz w:val="17"/>
                <w:szCs w:val="17"/>
                <w:color w:val="auto"/>
              </w:rPr>
              <w:t>Paying Agents</w:t>
            </w:r>
          </w:p>
        </w:tc>
        <w:tc>
          <w:tcPr>
            <w:tcW w:w="21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09"/>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3.05</w:t>
            </w:r>
          </w:p>
        </w:tc>
        <w:tc>
          <w:tcPr>
            <w:tcW w:w="7980" w:type="dxa"/>
            <w:vAlign w:val="bottom"/>
          </w:tcPr>
          <w:p>
            <w:pPr>
              <w:ind w:left="580"/>
              <w:spacing w:after="0"/>
              <w:rPr>
                <w:sz w:val="20"/>
                <w:szCs w:val="20"/>
                <w:color w:val="auto"/>
              </w:rPr>
            </w:pPr>
            <w:r>
              <w:rPr>
                <w:rFonts w:ascii="Arial" w:cs="Arial" w:eastAsia="Arial" w:hAnsi="Arial"/>
                <w:sz w:val="17"/>
                <w:szCs w:val="17"/>
                <w:color w:val="auto"/>
              </w:rPr>
              <w:t>Written Statement to Trustee</w:t>
            </w:r>
          </w:p>
        </w:tc>
        <w:tc>
          <w:tcPr>
            <w:tcW w:w="21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411"/>
        </w:trPr>
        <w:tc>
          <w:tcPr>
            <w:tcW w:w="1120" w:type="dxa"/>
            <w:vAlign w:val="bottom"/>
          </w:tcPr>
          <w:p>
            <w:pPr>
              <w:spacing w:after="0"/>
              <w:rPr>
                <w:sz w:val="20"/>
                <w:szCs w:val="20"/>
                <w:color w:val="auto"/>
              </w:rPr>
            </w:pPr>
            <w:r>
              <w:rPr>
                <w:rFonts w:ascii="Arial" w:cs="Arial" w:eastAsia="Arial" w:hAnsi="Arial"/>
                <w:sz w:val="17"/>
                <w:szCs w:val="17"/>
                <w:color w:val="auto"/>
              </w:rPr>
              <w:t>ARTICLE 4</w:t>
            </w:r>
          </w:p>
        </w:tc>
        <w:tc>
          <w:tcPr>
            <w:tcW w:w="7980" w:type="dxa"/>
            <w:vAlign w:val="bottom"/>
          </w:tcPr>
          <w:p>
            <w:pPr>
              <w:spacing w:after="0"/>
              <w:rPr>
                <w:sz w:val="20"/>
                <w:szCs w:val="20"/>
                <w:color w:val="auto"/>
              </w:rPr>
            </w:pPr>
            <w:r>
              <w:rPr>
                <w:rFonts w:ascii="Arial" w:cs="Arial" w:eastAsia="Arial" w:hAnsi="Arial"/>
                <w:sz w:val="17"/>
                <w:szCs w:val="17"/>
                <w:color w:val="auto"/>
              </w:rPr>
              <w:t>SECURITYHOLDERS LISTS AND REPORTS BY THE ISSUER AND THE TRUSTEE</w:t>
            </w:r>
          </w:p>
        </w:tc>
        <w:tc>
          <w:tcPr>
            <w:tcW w:w="21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4.01</w:t>
            </w:r>
          </w:p>
        </w:tc>
        <w:tc>
          <w:tcPr>
            <w:tcW w:w="7980" w:type="dxa"/>
            <w:vAlign w:val="bottom"/>
          </w:tcPr>
          <w:p>
            <w:pPr>
              <w:ind w:left="580"/>
              <w:spacing w:after="0"/>
              <w:rPr>
                <w:sz w:val="20"/>
                <w:szCs w:val="20"/>
                <w:color w:val="auto"/>
              </w:rPr>
            </w:pPr>
            <w:r>
              <w:rPr>
                <w:rFonts w:ascii="Arial" w:cs="Arial" w:eastAsia="Arial" w:hAnsi="Arial"/>
                <w:sz w:val="17"/>
                <w:szCs w:val="17"/>
                <w:color w:val="auto"/>
              </w:rPr>
              <w:t>Issuer to Furnish Trustee Information as to Names and Addresses of Securityholders</w:t>
            </w:r>
          </w:p>
        </w:tc>
        <w:tc>
          <w:tcPr>
            <w:tcW w:w="21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4.02</w:t>
            </w:r>
          </w:p>
        </w:tc>
        <w:tc>
          <w:tcPr>
            <w:tcW w:w="7980" w:type="dxa"/>
            <w:vAlign w:val="bottom"/>
          </w:tcPr>
          <w:p>
            <w:pPr>
              <w:ind w:left="580"/>
              <w:spacing w:after="0"/>
              <w:rPr>
                <w:sz w:val="20"/>
                <w:szCs w:val="20"/>
                <w:color w:val="auto"/>
              </w:rPr>
            </w:pPr>
            <w:r>
              <w:rPr>
                <w:rFonts w:ascii="Arial" w:cs="Arial" w:eastAsia="Arial" w:hAnsi="Arial"/>
                <w:sz w:val="17"/>
                <w:szCs w:val="17"/>
                <w:color w:val="auto"/>
              </w:rPr>
              <w:t>Reports by the Issuer</w:t>
            </w:r>
          </w:p>
        </w:tc>
        <w:tc>
          <w:tcPr>
            <w:tcW w:w="21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4.03</w:t>
            </w:r>
          </w:p>
        </w:tc>
        <w:tc>
          <w:tcPr>
            <w:tcW w:w="7980" w:type="dxa"/>
            <w:vAlign w:val="bottom"/>
          </w:tcPr>
          <w:p>
            <w:pPr>
              <w:ind w:left="580"/>
              <w:spacing w:after="0"/>
              <w:rPr>
                <w:sz w:val="20"/>
                <w:szCs w:val="20"/>
                <w:color w:val="auto"/>
              </w:rPr>
            </w:pPr>
            <w:r>
              <w:rPr>
                <w:rFonts w:ascii="Arial" w:cs="Arial" w:eastAsia="Arial" w:hAnsi="Arial"/>
                <w:sz w:val="17"/>
                <w:szCs w:val="17"/>
                <w:color w:val="auto"/>
              </w:rPr>
              <w:t>Reports by the Trustee</w:t>
            </w:r>
          </w:p>
        </w:tc>
        <w:tc>
          <w:tcPr>
            <w:tcW w:w="21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09"/>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4.04</w:t>
            </w:r>
          </w:p>
        </w:tc>
        <w:tc>
          <w:tcPr>
            <w:tcW w:w="7980" w:type="dxa"/>
            <w:vAlign w:val="bottom"/>
          </w:tcPr>
          <w:p>
            <w:pPr>
              <w:ind w:left="580"/>
              <w:spacing w:after="0"/>
              <w:rPr>
                <w:sz w:val="20"/>
                <w:szCs w:val="20"/>
                <w:color w:val="auto"/>
              </w:rPr>
            </w:pPr>
            <w:r>
              <w:rPr>
                <w:rFonts w:ascii="Arial" w:cs="Arial" w:eastAsia="Arial" w:hAnsi="Arial"/>
                <w:sz w:val="17"/>
                <w:szCs w:val="17"/>
                <w:color w:val="auto"/>
              </w:rPr>
              <w:t>Preservation of Information; Communication with Securityholders</w:t>
            </w:r>
          </w:p>
        </w:tc>
        <w:tc>
          <w:tcPr>
            <w:tcW w:w="21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411"/>
        </w:trPr>
        <w:tc>
          <w:tcPr>
            <w:tcW w:w="1120" w:type="dxa"/>
            <w:vAlign w:val="bottom"/>
          </w:tcPr>
          <w:p>
            <w:pPr>
              <w:spacing w:after="0"/>
              <w:rPr>
                <w:sz w:val="20"/>
                <w:szCs w:val="20"/>
                <w:color w:val="auto"/>
              </w:rPr>
            </w:pPr>
            <w:r>
              <w:rPr>
                <w:rFonts w:ascii="Arial" w:cs="Arial" w:eastAsia="Arial" w:hAnsi="Arial"/>
                <w:sz w:val="17"/>
                <w:szCs w:val="17"/>
                <w:color w:val="auto"/>
              </w:rPr>
              <w:t>ARTICLE 5</w:t>
            </w:r>
          </w:p>
        </w:tc>
        <w:tc>
          <w:tcPr>
            <w:tcW w:w="7980" w:type="dxa"/>
            <w:vAlign w:val="bottom"/>
          </w:tcPr>
          <w:p>
            <w:pPr>
              <w:spacing w:after="0"/>
              <w:rPr>
                <w:sz w:val="20"/>
                <w:szCs w:val="20"/>
                <w:color w:val="auto"/>
              </w:rPr>
            </w:pPr>
            <w:r>
              <w:rPr>
                <w:rFonts w:ascii="Arial" w:cs="Arial" w:eastAsia="Arial" w:hAnsi="Arial"/>
                <w:sz w:val="17"/>
                <w:szCs w:val="17"/>
                <w:color w:val="auto"/>
              </w:rPr>
              <w:t>REMEDIES OF THE TRUSTEE AND SECURITYHOLDERS ON EVENT OF DEFAULT</w:t>
            </w:r>
          </w:p>
        </w:tc>
        <w:tc>
          <w:tcPr>
            <w:tcW w:w="21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5.01</w:t>
            </w:r>
          </w:p>
        </w:tc>
        <w:tc>
          <w:tcPr>
            <w:tcW w:w="7980" w:type="dxa"/>
            <w:vAlign w:val="bottom"/>
          </w:tcPr>
          <w:p>
            <w:pPr>
              <w:ind w:left="580"/>
              <w:spacing w:after="0"/>
              <w:rPr>
                <w:sz w:val="20"/>
                <w:szCs w:val="20"/>
                <w:color w:val="auto"/>
              </w:rPr>
            </w:pPr>
            <w:r>
              <w:rPr>
                <w:rFonts w:ascii="Arial" w:cs="Arial" w:eastAsia="Arial" w:hAnsi="Arial"/>
                <w:sz w:val="17"/>
                <w:szCs w:val="17"/>
                <w:color w:val="auto"/>
              </w:rPr>
              <w:t>Event of Default Defined; Acceleration of Maturity; Waiver of Default</w:t>
            </w:r>
          </w:p>
        </w:tc>
        <w:tc>
          <w:tcPr>
            <w:tcW w:w="21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5.02</w:t>
            </w:r>
          </w:p>
        </w:tc>
        <w:tc>
          <w:tcPr>
            <w:tcW w:w="7980" w:type="dxa"/>
            <w:vAlign w:val="bottom"/>
          </w:tcPr>
          <w:p>
            <w:pPr>
              <w:ind w:left="580"/>
              <w:spacing w:after="0"/>
              <w:rPr>
                <w:sz w:val="20"/>
                <w:szCs w:val="20"/>
                <w:color w:val="auto"/>
              </w:rPr>
            </w:pPr>
            <w:r>
              <w:rPr>
                <w:rFonts w:ascii="Arial" w:cs="Arial" w:eastAsia="Arial" w:hAnsi="Arial"/>
                <w:sz w:val="17"/>
                <w:szCs w:val="17"/>
                <w:color w:val="auto"/>
              </w:rPr>
              <w:t>Collection of Debt by Trustee; Trustee May Prove Debt</w:t>
            </w:r>
          </w:p>
        </w:tc>
        <w:tc>
          <w:tcPr>
            <w:tcW w:w="21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5.03</w:t>
            </w:r>
          </w:p>
        </w:tc>
        <w:tc>
          <w:tcPr>
            <w:tcW w:w="7980" w:type="dxa"/>
            <w:vAlign w:val="bottom"/>
          </w:tcPr>
          <w:p>
            <w:pPr>
              <w:ind w:left="580"/>
              <w:spacing w:after="0"/>
              <w:rPr>
                <w:sz w:val="20"/>
                <w:szCs w:val="20"/>
                <w:color w:val="auto"/>
              </w:rPr>
            </w:pPr>
            <w:r>
              <w:rPr>
                <w:rFonts w:ascii="Arial" w:cs="Arial" w:eastAsia="Arial" w:hAnsi="Arial"/>
                <w:sz w:val="17"/>
                <w:szCs w:val="17"/>
                <w:color w:val="auto"/>
              </w:rPr>
              <w:t>Application of Proceeds</w:t>
            </w:r>
          </w:p>
        </w:tc>
        <w:tc>
          <w:tcPr>
            <w:tcW w:w="214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5.04</w:t>
            </w:r>
          </w:p>
        </w:tc>
        <w:tc>
          <w:tcPr>
            <w:tcW w:w="7980" w:type="dxa"/>
            <w:vAlign w:val="bottom"/>
          </w:tcPr>
          <w:p>
            <w:pPr>
              <w:ind w:left="580"/>
              <w:spacing w:after="0"/>
              <w:rPr>
                <w:sz w:val="20"/>
                <w:szCs w:val="20"/>
                <w:color w:val="auto"/>
              </w:rPr>
            </w:pPr>
            <w:r>
              <w:rPr>
                <w:rFonts w:ascii="Arial" w:cs="Arial" w:eastAsia="Arial" w:hAnsi="Arial"/>
                <w:sz w:val="17"/>
                <w:szCs w:val="17"/>
                <w:color w:val="auto"/>
              </w:rPr>
              <w:t>Suits for Enforcement</w:t>
            </w:r>
          </w:p>
        </w:tc>
        <w:tc>
          <w:tcPr>
            <w:tcW w:w="214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5.05</w:t>
            </w:r>
          </w:p>
        </w:tc>
        <w:tc>
          <w:tcPr>
            <w:tcW w:w="7980" w:type="dxa"/>
            <w:vAlign w:val="bottom"/>
          </w:tcPr>
          <w:p>
            <w:pPr>
              <w:ind w:left="580"/>
              <w:spacing w:after="0"/>
              <w:rPr>
                <w:sz w:val="20"/>
                <w:szCs w:val="20"/>
                <w:color w:val="auto"/>
              </w:rPr>
            </w:pPr>
            <w:r>
              <w:rPr>
                <w:rFonts w:ascii="Arial" w:cs="Arial" w:eastAsia="Arial" w:hAnsi="Arial"/>
                <w:sz w:val="17"/>
                <w:szCs w:val="17"/>
                <w:color w:val="auto"/>
              </w:rPr>
              <w:t>Restoration of Rights on Abandonment of Proceedings</w:t>
            </w:r>
          </w:p>
        </w:tc>
        <w:tc>
          <w:tcPr>
            <w:tcW w:w="214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5.06</w:t>
            </w:r>
          </w:p>
        </w:tc>
        <w:tc>
          <w:tcPr>
            <w:tcW w:w="7980" w:type="dxa"/>
            <w:vAlign w:val="bottom"/>
          </w:tcPr>
          <w:p>
            <w:pPr>
              <w:ind w:left="580"/>
              <w:spacing w:after="0"/>
              <w:rPr>
                <w:sz w:val="20"/>
                <w:szCs w:val="20"/>
                <w:color w:val="auto"/>
              </w:rPr>
            </w:pPr>
            <w:r>
              <w:rPr>
                <w:rFonts w:ascii="Arial" w:cs="Arial" w:eastAsia="Arial" w:hAnsi="Arial"/>
                <w:sz w:val="17"/>
                <w:szCs w:val="17"/>
                <w:color w:val="auto"/>
              </w:rPr>
              <w:t>Limitations on Suits by Securityholders</w:t>
            </w:r>
          </w:p>
        </w:tc>
        <w:tc>
          <w:tcPr>
            <w:tcW w:w="214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5.07</w:t>
            </w:r>
          </w:p>
        </w:tc>
        <w:tc>
          <w:tcPr>
            <w:tcW w:w="7980" w:type="dxa"/>
            <w:vAlign w:val="bottom"/>
          </w:tcPr>
          <w:p>
            <w:pPr>
              <w:ind w:left="580"/>
              <w:spacing w:after="0"/>
              <w:rPr>
                <w:sz w:val="20"/>
                <w:szCs w:val="20"/>
                <w:color w:val="auto"/>
              </w:rPr>
            </w:pPr>
            <w:r>
              <w:rPr>
                <w:rFonts w:ascii="Arial" w:cs="Arial" w:eastAsia="Arial" w:hAnsi="Arial"/>
                <w:sz w:val="17"/>
                <w:szCs w:val="17"/>
                <w:color w:val="auto"/>
              </w:rPr>
              <w:t>Unconditional Right of Securityholders to Institute Certain Suits</w:t>
            </w:r>
          </w:p>
        </w:tc>
        <w:tc>
          <w:tcPr>
            <w:tcW w:w="214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09"/>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5.08</w:t>
            </w:r>
          </w:p>
        </w:tc>
        <w:tc>
          <w:tcPr>
            <w:tcW w:w="7980" w:type="dxa"/>
            <w:vAlign w:val="bottom"/>
          </w:tcPr>
          <w:p>
            <w:pPr>
              <w:ind w:left="580"/>
              <w:spacing w:after="0"/>
              <w:rPr>
                <w:sz w:val="20"/>
                <w:szCs w:val="20"/>
                <w:color w:val="auto"/>
              </w:rPr>
            </w:pPr>
            <w:r>
              <w:rPr>
                <w:rFonts w:ascii="Arial" w:cs="Arial" w:eastAsia="Arial" w:hAnsi="Arial"/>
                <w:sz w:val="17"/>
                <w:szCs w:val="17"/>
                <w:color w:val="auto"/>
              </w:rPr>
              <w:t>Powers and Remedies Cumulative; Delay or Omission Not Waiver of Default</w:t>
            </w:r>
          </w:p>
        </w:tc>
        <w:tc>
          <w:tcPr>
            <w:tcW w:w="2140" w:type="dxa"/>
            <w:vAlign w:val="bottom"/>
          </w:tcPr>
          <w:p>
            <w:pPr>
              <w:jc w:val="right"/>
              <w:spacing w:after="0"/>
              <w:rPr>
                <w:sz w:val="20"/>
                <w:szCs w:val="20"/>
                <w:color w:val="auto"/>
              </w:rPr>
            </w:pPr>
            <w:r>
              <w:rPr>
                <w:rFonts w:ascii="Arial" w:cs="Arial" w:eastAsia="Arial" w:hAnsi="Arial"/>
                <w:sz w:val="17"/>
                <w:szCs w:val="17"/>
                <w:color w:val="auto"/>
              </w:rPr>
              <w:t>26</w:t>
            </w: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9">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5.09</w:t>
            </w:r>
          </w:p>
        </w:tc>
        <w:tc>
          <w:tcPr>
            <w:tcW w:w="340" w:type="dxa"/>
            <w:vAlign w:val="bottom"/>
          </w:tcPr>
          <w:p>
            <w:pPr>
              <w:spacing w:after="0"/>
              <w:rPr>
                <w:sz w:val="17"/>
                <w:szCs w:val="17"/>
                <w:color w:val="auto"/>
              </w:rPr>
            </w:pPr>
          </w:p>
        </w:tc>
        <w:tc>
          <w:tcPr>
            <w:tcW w:w="8200" w:type="dxa"/>
            <w:vAlign w:val="bottom"/>
          </w:tcPr>
          <w:p>
            <w:pPr>
              <w:ind w:left="240"/>
              <w:spacing w:after="0"/>
              <w:rPr>
                <w:sz w:val="20"/>
                <w:szCs w:val="20"/>
                <w:color w:val="auto"/>
              </w:rPr>
            </w:pPr>
            <w:r>
              <w:rPr>
                <w:rFonts w:ascii="Arial" w:cs="Arial" w:eastAsia="Arial" w:hAnsi="Arial"/>
                <w:sz w:val="17"/>
                <w:szCs w:val="17"/>
                <w:color w:val="auto"/>
              </w:rPr>
              <w:t>Control by Holders of Securities</w:t>
            </w:r>
          </w:p>
        </w:tc>
        <w:tc>
          <w:tcPr>
            <w:tcW w:w="158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5.10</w:t>
            </w:r>
          </w:p>
        </w:tc>
        <w:tc>
          <w:tcPr>
            <w:tcW w:w="340" w:type="dxa"/>
            <w:vAlign w:val="bottom"/>
          </w:tcPr>
          <w:p>
            <w:pPr>
              <w:spacing w:after="0"/>
              <w:rPr>
                <w:sz w:val="17"/>
                <w:szCs w:val="17"/>
                <w:color w:val="auto"/>
              </w:rPr>
            </w:pPr>
          </w:p>
        </w:tc>
        <w:tc>
          <w:tcPr>
            <w:tcW w:w="8200" w:type="dxa"/>
            <w:vAlign w:val="bottom"/>
          </w:tcPr>
          <w:p>
            <w:pPr>
              <w:ind w:left="240"/>
              <w:spacing w:after="0"/>
              <w:rPr>
                <w:sz w:val="20"/>
                <w:szCs w:val="20"/>
                <w:color w:val="auto"/>
              </w:rPr>
            </w:pPr>
            <w:r>
              <w:rPr>
                <w:rFonts w:ascii="Arial" w:cs="Arial" w:eastAsia="Arial" w:hAnsi="Arial"/>
                <w:sz w:val="17"/>
                <w:szCs w:val="17"/>
                <w:color w:val="auto"/>
              </w:rPr>
              <w:t>Waiver of Past Defaults</w:t>
            </w:r>
          </w:p>
        </w:tc>
        <w:tc>
          <w:tcPr>
            <w:tcW w:w="158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5.11</w:t>
            </w:r>
          </w:p>
        </w:tc>
        <w:tc>
          <w:tcPr>
            <w:tcW w:w="340" w:type="dxa"/>
            <w:vAlign w:val="bottom"/>
          </w:tcPr>
          <w:p>
            <w:pPr>
              <w:spacing w:after="0"/>
              <w:rPr>
                <w:sz w:val="17"/>
                <w:szCs w:val="17"/>
                <w:color w:val="auto"/>
              </w:rPr>
            </w:pPr>
          </w:p>
        </w:tc>
        <w:tc>
          <w:tcPr>
            <w:tcW w:w="8200" w:type="dxa"/>
            <w:vAlign w:val="bottom"/>
          </w:tcPr>
          <w:p>
            <w:pPr>
              <w:ind w:left="240"/>
              <w:spacing w:after="0"/>
              <w:rPr>
                <w:sz w:val="20"/>
                <w:szCs w:val="20"/>
                <w:color w:val="auto"/>
              </w:rPr>
            </w:pPr>
            <w:r>
              <w:rPr>
                <w:rFonts w:ascii="Arial" w:cs="Arial" w:eastAsia="Arial" w:hAnsi="Arial"/>
                <w:sz w:val="17"/>
                <w:szCs w:val="17"/>
                <w:color w:val="auto"/>
              </w:rPr>
              <w:t>Trustee to Give Notice of Default</w:t>
            </w:r>
          </w:p>
        </w:tc>
        <w:tc>
          <w:tcPr>
            <w:tcW w:w="158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09"/>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5.12</w:t>
            </w:r>
          </w:p>
        </w:tc>
        <w:tc>
          <w:tcPr>
            <w:tcW w:w="340" w:type="dxa"/>
            <w:vAlign w:val="bottom"/>
          </w:tcPr>
          <w:p>
            <w:pPr>
              <w:spacing w:after="0"/>
              <w:rPr>
                <w:sz w:val="18"/>
                <w:szCs w:val="18"/>
                <w:color w:val="auto"/>
              </w:rPr>
            </w:pPr>
          </w:p>
        </w:tc>
        <w:tc>
          <w:tcPr>
            <w:tcW w:w="8200" w:type="dxa"/>
            <w:vAlign w:val="bottom"/>
          </w:tcPr>
          <w:p>
            <w:pPr>
              <w:ind w:left="240"/>
              <w:spacing w:after="0"/>
              <w:rPr>
                <w:sz w:val="20"/>
                <w:szCs w:val="20"/>
                <w:color w:val="auto"/>
              </w:rPr>
            </w:pPr>
            <w:r>
              <w:rPr>
                <w:rFonts w:ascii="Arial" w:cs="Arial" w:eastAsia="Arial" w:hAnsi="Arial"/>
                <w:sz w:val="17"/>
                <w:szCs w:val="17"/>
                <w:color w:val="auto"/>
              </w:rPr>
              <w:t>Right of Court to Require Filing of Undertaking to Pay Costs</w:t>
            </w:r>
          </w:p>
        </w:tc>
        <w:tc>
          <w:tcPr>
            <w:tcW w:w="158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411"/>
        </w:trPr>
        <w:tc>
          <w:tcPr>
            <w:tcW w:w="1120" w:type="dxa"/>
            <w:vAlign w:val="bottom"/>
          </w:tcPr>
          <w:p>
            <w:pPr>
              <w:spacing w:after="0"/>
              <w:rPr>
                <w:sz w:val="20"/>
                <w:szCs w:val="20"/>
                <w:color w:val="auto"/>
              </w:rPr>
            </w:pPr>
            <w:r>
              <w:rPr>
                <w:rFonts w:ascii="Arial" w:cs="Arial" w:eastAsia="Arial" w:hAnsi="Arial"/>
                <w:sz w:val="17"/>
                <w:szCs w:val="17"/>
                <w:color w:val="auto"/>
              </w:rPr>
              <w:t>ARTICLE 6</w:t>
            </w:r>
          </w:p>
        </w:tc>
        <w:tc>
          <w:tcPr>
            <w:tcW w:w="8540" w:type="dxa"/>
            <w:vAlign w:val="bottom"/>
            <w:gridSpan w:val="2"/>
          </w:tcPr>
          <w:p>
            <w:pPr>
              <w:spacing w:after="0"/>
              <w:rPr>
                <w:sz w:val="20"/>
                <w:szCs w:val="20"/>
                <w:color w:val="auto"/>
              </w:rPr>
            </w:pPr>
            <w:r>
              <w:rPr>
                <w:rFonts w:ascii="Arial" w:cs="Arial" w:eastAsia="Arial" w:hAnsi="Arial"/>
                <w:sz w:val="17"/>
                <w:szCs w:val="17"/>
                <w:color w:val="auto"/>
              </w:rPr>
              <w:t>CONCERNING THE TRUSTEE</w:t>
            </w:r>
          </w:p>
        </w:tc>
        <w:tc>
          <w:tcPr>
            <w:tcW w:w="158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6.01</w:t>
            </w:r>
          </w:p>
        </w:tc>
        <w:tc>
          <w:tcPr>
            <w:tcW w:w="340" w:type="dxa"/>
            <w:vAlign w:val="bottom"/>
          </w:tcPr>
          <w:p>
            <w:pPr>
              <w:spacing w:after="0"/>
              <w:rPr>
                <w:sz w:val="17"/>
                <w:szCs w:val="17"/>
                <w:color w:val="auto"/>
              </w:rPr>
            </w:pPr>
          </w:p>
        </w:tc>
        <w:tc>
          <w:tcPr>
            <w:tcW w:w="8200" w:type="dxa"/>
            <w:vAlign w:val="bottom"/>
          </w:tcPr>
          <w:p>
            <w:pPr>
              <w:ind w:left="240"/>
              <w:spacing w:after="0"/>
              <w:rPr>
                <w:sz w:val="20"/>
                <w:szCs w:val="20"/>
                <w:color w:val="auto"/>
              </w:rPr>
            </w:pPr>
            <w:r>
              <w:rPr>
                <w:rFonts w:ascii="Arial" w:cs="Arial" w:eastAsia="Arial" w:hAnsi="Arial"/>
                <w:sz w:val="17"/>
                <w:szCs w:val="17"/>
                <w:color w:val="auto"/>
              </w:rPr>
              <w:t>Duties and Responsibilities of the Trustee; During Default; Prior to Default</w:t>
            </w:r>
          </w:p>
        </w:tc>
        <w:tc>
          <w:tcPr>
            <w:tcW w:w="158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6.02</w:t>
            </w:r>
          </w:p>
        </w:tc>
        <w:tc>
          <w:tcPr>
            <w:tcW w:w="340" w:type="dxa"/>
            <w:vAlign w:val="bottom"/>
          </w:tcPr>
          <w:p>
            <w:pPr>
              <w:spacing w:after="0"/>
              <w:rPr>
                <w:sz w:val="17"/>
                <w:szCs w:val="17"/>
                <w:color w:val="auto"/>
              </w:rPr>
            </w:pPr>
          </w:p>
        </w:tc>
        <w:tc>
          <w:tcPr>
            <w:tcW w:w="8200" w:type="dxa"/>
            <w:vAlign w:val="bottom"/>
          </w:tcPr>
          <w:p>
            <w:pPr>
              <w:ind w:left="240"/>
              <w:spacing w:after="0"/>
              <w:rPr>
                <w:sz w:val="20"/>
                <w:szCs w:val="20"/>
                <w:color w:val="auto"/>
              </w:rPr>
            </w:pPr>
            <w:r>
              <w:rPr>
                <w:rFonts w:ascii="Arial" w:cs="Arial" w:eastAsia="Arial" w:hAnsi="Arial"/>
                <w:sz w:val="17"/>
                <w:szCs w:val="17"/>
                <w:color w:val="auto"/>
              </w:rPr>
              <w:t>Certain Rights of the Trustee</w:t>
            </w:r>
          </w:p>
        </w:tc>
        <w:tc>
          <w:tcPr>
            <w:tcW w:w="158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6.03</w:t>
            </w:r>
          </w:p>
        </w:tc>
        <w:tc>
          <w:tcPr>
            <w:tcW w:w="340" w:type="dxa"/>
            <w:vAlign w:val="bottom"/>
          </w:tcPr>
          <w:p>
            <w:pPr>
              <w:spacing w:after="0"/>
              <w:rPr>
                <w:sz w:val="17"/>
                <w:szCs w:val="17"/>
                <w:color w:val="auto"/>
              </w:rPr>
            </w:pPr>
          </w:p>
        </w:tc>
        <w:tc>
          <w:tcPr>
            <w:tcW w:w="8200" w:type="dxa"/>
            <w:vAlign w:val="bottom"/>
          </w:tcPr>
          <w:p>
            <w:pPr>
              <w:ind w:left="240"/>
              <w:spacing w:after="0"/>
              <w:rPr>
                <w:sz w:val="20"/>
                <w:szCs w:val="20"/>
                <w:color w:val="auto"/>
              </w:rPr>
            </w:pPr>
            <w:r>
              <w:rPr>
                <w:rFonts w:ascii="Arial" w:cs="Arial" w:eastAsia="Arial" w:hAnsi="Arial"/>
                <w:sz w:val="17"/>
                <w:szCs w:val="17"/>
                <w:color w:val="auto"/>
              </w:rPr>
              <w:t>Trustee Not Responsible for Recitals, Disposition of Securities or Application of Proceeds Thereof</w:t>
            </w:r>
          </w:p>
        </w:tc>
        <w:tc>
          <w:tcPr>
            <w:tcW w:w="158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6.04</w:t>
            </w:r>
          </w:p>
        </w:tc>
        <w:tc>
          <w:tcPr>
            <w:tcW w:w="340" w:type="dxa"/>
            <w:vAlign w:val="bottom"/>
          </w:tcPr>
          <w:p>
            <w:pPr>
              <w:spacing w:after="0"/>
              <w:rPr>
                <w:sz w:val="17"/>
                <w:szCs w:val="17"/>
                <w:color w:val="auto"/>
              </w:rPr>
            </w:pPr>
          </w:p>
        </w:tc>
        <w:tc>
          <w:tcPr>
            <w:tcW w:w="8200" w:type="dxa"/>
            <w:vAlign w:val="bottom"/>
          </w:tcPr>
          <w:p>
            <w:pPr>
              <w:ind w:left="240"/>
              <w:spacing w:after="0"/>
              <w:rPr>
                <w:sz w:val="20"/>
                <w:szCs w:val="20"/>
                <w:color w:val="auto"/>
              </w:rPr>
            </w:pPr>
            <w:r>
              <w:rPr>
                <w:rFonts w:ascii="Arial" w:cs="Arial" w:eastAsia="Arial" w:hAnsi="Arial"/>
                <w:sz w:val="17"/>
                <w:szCs w:val="17"/>
                <w:color w:val="auto"/>
              </w:rPr>
              <w:t>Trustee and Agents May Hold Securities; Collections, Etc</w:t>
            </w:r>
          </w:p>
        </w:tc>
        <w:tc>
          <w:tcPr>
            <w:tcW w:w="158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6.05</w:t>
            </w:r>
          </w:p>
        </w:tc>
        <w:tc>
          <w:tcPr>
            <w:tcW w:w="340" w:type="dxa"/>
            <w:vAlign w:val="bottom"/>
          </w:tcPr>
          <w:p>
            <w:pPr>
              <w:spacing w:after="0"/>
              <w:rPr>
                <w:sz w:val="17"/>
                <w:szCs w:val="17"/>
                <w:color w:val="auto"/>
              </w:rPr>
            </w:pPr>
          </w:p>
        </w:tc>
        <w:tc>
          <w:tcPr>
            <w:tcW w:w="8200" w:type="dxa"/>
            <w:vAlign w:val="bottom"/>
          </w:tcPr>
          <w:p>
            <w:pPr>
              <w:ind w:left="240"/>
              <w:spacing w:after="0"/>
              <w:rPr>
                <w:sz w:val="20"/>
                <w:szCs w:val="20"/>
                <w:color w:val="auto"/>
              </w:rPr>
            </w:pPr>
            <w:r>
              <w:rPr>
                <w:rFonts w:ascii="Arial" w:cs="Arial" w:eastAsia="Arial" w:hAnsi="Arial"/>
                <w:sz w:val="17"/>
                <w:szCs w:val="17"/>
                <w:color w:val="auto"/>
              </w:rPr>
              <w:t>Moneys Held by Trustee</w:t>
            </w:r>
          </w:p>
        </w:tc>
        <w:tc>
          <w:tcPr>
            <w:tcW w:w="158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6.06</w:t>
            </w:r>
          </w:p>
        </w:tc>
        <w:tc>
          <w:tcPr>
            <w:tcW w:w="340" w:type="dxa"/>
            <w:vAlign w:val="bottom"/>
          </w:tcPr>
          <w:p>
            <w:pPr>
              <w:spacing w:after="0"/>
              <w:rPr>
                <w:sz w:val="17"/>
                <w:szCs w:val="17"/>
                <w:color w:val="auto"/>
              </w:rPr>
            </w:pPr>
          </w:p>
        </w:tc>
        <w:tc>
          <w:tcPr>
            <w:tcW w:w="8200" w:type="dxa"/>
            <w:vAlign w:val="bottom"/>
          </w:tcPr>
          <w:p>
            <w:pPr>
              <w:ind w:left="240"/>
              <w:spacing w:after="0"/>
              <w:rPr>
                <w:sz w:val="20"/>
                <w:szCs w:val="20"/>
                <w:color w:val="auto"/>
              </w:rPr>
            </w:pPr>
            <w:r>
              <w:rPr>
                <w:rFonts w:ascii="Arial" w:cs="Arial" w:eastAsia="Arial" w:hAnsi="Arial"/>
                <w:sz w:val="17"/>
                <w:szCs w:val="17"/>
                <w:color w:val="auto"/>
              </w:rPr>
              <w:t>Compensation and Indemnification of Trustee and Its Prior Claim</w:t>
            </w:r>
          </w:p>
        </w:tc>
        <w:tc>
          <w:tcPr>
            <w:tcW w:w="158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6.07</w:t>
            </w:r>
          </w:p>
        </w:tc>
        <w:tc>
          <w:tcPr>
            <w:tcW w:w="340" w:type="dxa"/>
            <w:vAlign w:val="bottom"/>
          </w:tcPr>
          <w:p>
            <w:pPr>
              <w:spacing w:after="0"/>
              <w:rPr>
                <w:sz w:val="17"/>
                <w:szCs w:val="17"/>
                <w:color w:val="auto"/>
              </w:rPr>
            </w:pPr>
          </w:p>
        </w:tc>
        <w:tc>
          <w:tcPr>
            <w:tcW w:w="8200" w:type="dxa"/>
            <w:vAlign w:val="bottom"/>
          </w:tcPr>
          <w:p>
            <w:pPr>
              <w:ind w:left="240"/>
              <w:spacing w:after="0"/>
              <w:rPr>
                <w:sz w:val="20"/>
                <w:szCs w:val="20"/>
                <w:color w:val="auto"/>
              </w:rPr>
            </w:pPr>
            <w:r>
              <w:rPr>
                <w:rFonts w:ascii="Arial" w:cs="Arial" w:eastAsia="Arial" w:hAnsi="Arial"/>
                <w:sz w:val="17"/>
                <w:szCs w:val="17"/>
                <w:color w:val="auto"/>
              </w:rPr>
              <w:t>Right of Trustee to Rely on Officer’s Certificate, Etc</w:t>
            </w:r>
          </w:p>
        </w:tc>
        <w:tc>
          <w:tcPr>
            <w:tcW w:w="158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6.08</w:t>
            </w:r>
          </w:p>
        </w:tc>
        <w:tc>
          <w:tcPr>
            <w:tcW w:w="340" w:type="dxa"/>
            <w:vAlign w:val="bottom"/>
          </w:tcPr>
          <w:p>
            <w:pPr>
              <w:spacing w:after="0"/>
              <w:rPr>
                <w:sz w:val="17"/>
                <w:szCs w:val="17"/>
                <w:color w:val="auto"/>
              </w:rPr>
            </w:pPr>
          </w:p>
        </w:tc>
        <w:tc>
          <w:tcPr>
            <w:tcW w:w="8200" w:type="dxa"/>
            <w:vAlign w:val="bottom"/>
          </w:tcPr>
          <w:p>
            <w:pPr>
              <w:ind w:left="240"/>
              <w:spacing w:after="0"/>
              <w:rPr>
                <w:sz w:val="20"/>
                <w:szCs w:val="20"/>
                <w:color w:val="auto"/>
              </w:rPr>
            </w:pPr>
            <w:r>
              <w:rPr>
                <w:rFonts w:ascii="Arial" w:cs="Arial" w:eastAsia="Arial" w:hAnsi="Arial"/>
                <w:sz w:val="17"/>
                <w:szCs w:val="17"/>
                <w:color w:val="auto"/>
              </w:rPr>
              <w:t>Disqualification; Conflicting Interests</w:t>
            </w:r>
          </w:p>
        </w:tc>
        <w:tc>
          <w:tcPr>
            <w:tcW w:w="158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6.09</w:t>
            </w:r>
          </w:p>
        </w:tc>
        <w:tc>
          <w:tcPr>
            <w:tcW w:w="340" w:type="dxa"/>
            <w:vAlign w:val="bottom"/>
          </w:tcPr>
          <w:p>
            <w:pPr>
              <w:spacing w:after="0"/>
              <w:rPr>
                <w:sz w:val="17"/>
                <w:szCs w:val="17"/>
                <w:color w:val="auto"/>
              </w:rPr>
            </w:pPr>
          </w:p>
        </w:tc>
        <w:tc>
          <w:tcPr>
            <w:tcW w:w="8200" w:type="dxa"/>
            <w:vAlign w:val="bottom"/>
          </w:tcPr>
          <w:p>
            <w:pPr>
              <w:ind w:left="240"/>
              <w:spacing w:after="0"/>
              <w:rPr>
                <w:sz w:val="20"/>
                <w:szCs w:val="20"/>
                <w:color w:val="auto"/>
              </w:rPr>
            </w:pPr>
            <w:r>
              <w:rPr>
                <w:rFonts w:ascii="Arial" w:cs="Arial" w:eastAsia="Arial" w:hAnsi="Arial"/>
                <w:sz w:val="17"/>
                <w:szCs w:val="17"/>
                <w:color w:val="auto"/>
              </w:rPr>
              <w:t>Persons Eligible for Appointment as Trustee</w:t>
            </w:r>
          </w:p>
        </w:tc>
        <w:tc>
          <w:tcPr>
            <w:tcW w:w="158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6.10</w:t>
            </w:r>
          </w:p>
        </w:tc>
        <w:tc>
          <w:tcPr>
            <w:tcW w:w="340" w:type="dxa"/>
            <w:vAlign w:val="bottom"/>
          </w:tcPr>
          <w:p>
            <w:pPr>
              <w:spacing w:after="0"/>
              <w:rPr>
                <w:sz w:val="17"/>
                <w:szCs w:val="17"/>
                <w:color w:val="auto"/>
              </w:rPr>
            </w:pPr>
          </w:p>
        </w:tc>
        <w:tc>
          <w:tcPr>
            <w:tcW w:w="8200" w:type="dxa"/>
            <w:vAlign w:val="bottom"/>
          </w:tcPr>
          <w:p>
            <w:pPr>
              <w:ind w:left="240"/>
              <w:spacing w:after="0"/>
              <w:rPr>
                <w:sz w:val="20"/>
                <w:szCs w:val="20"/>
                <w:color w:val="auto"/>
              </w:rPr>
            </w:pPr>
            <w:r>
              <w:rPr>
                <w:rFonts w:ascii="Arial" w:cs="Arial" w:eastAsia="Arial" w:hAnsi="Arial"/>
                <w:sz w:val="17"/>
                <w:szCs w:val="17"/>
                <w:color w:val="auto"/>
              </w:rPr>
              <w:t>Resignation and Removal; Appointment of Successor Trustee</w:t>
            </w:r>
          </w:p>
        </w:tc>
        <w:tc>
          <w:tcPr>
            <w:tcW w:w="158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6.11</w:t>
            </w:r>
          </w:p>
        </w:tc>
        <w:tc>
          <w:tcPr>
            <w:tcW w:w="340" w:type="dxa"/>
            <w:vAlign w:val="bottom"/>
          </w:tcPr>
          <w:p>
            <w:pPr>
              <w:spacing w:after="0"/>
              <w:rPr>
                <w:sz w:val="17"/>
                <w:szCs w:val="17"/>
                <w:color w:val="auto"/>
              </w:rPr>
            </w:pPr>
          </w:p>
        </w:tc>
        <w:tc>
          <w:tcPr>
            <w:tcW w:w="8200" w:type="dxa"/>
            <w:vAlign w:val="bottom"/>
          </w:tcPr>
          <w:p>
            <w:pPr>
              <w:ind w:left="240"/>
              <w:spacing w:after="0"/>
              <w:rPr>
                <w:sz w:val="20"/>
                <w:szCs w:val="20"/>
                <w:color w:val="auto"/>
              </w:rPr>
            </w:pPr>
            <w:r>
              <w:rPr>
                <w:rFonts w:ascii="Arial" w:cs="Arial" w:eastAsia="Arial" w:hAnsi="Arial"/>
                <w:sz w:val="17"/>
                <w:szCs w:val="17"/>
                <w:color w:val="auto"/>
              </w:rPr>
              <w:t>Acceptance of Appointment by Successor Trustee</w:t>
            </w:r>
          </w:p>
        </w:tc>
        <w:tc>
          <w:tcPr>
            <w:tcW w:w="158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6.12</w:t>
            </w:r>
          </w:p>
        </w:tc>
        <w:tc>
          <w:tcPr>
            <w:tcW w:w="340" w:type="dxa"/>
            <w:vAlign w:val="bottom"/>
          </w:tcPr>
          <w:p>
            <w:pPr>
              <w:spacing w:after="0"/>
              <w:rPr>
                <w:sz w:val="17"/>
                <w:szCs w:val="17"/>
                <w:color w:val="auto"/>
              </w:rPr>
            </w:pPr>
          </w:p>
        </w:tc>
        <w:tc>
          <w:tcPr>
            <w:tcW w:w="8200" w:type="dxa"/>
            <w:vAlign w:val="bottom"/>
          </w:tcPr>
          <w:p>
            <w:pPr>
              <w:ind w:left="240"/>
              <w:spacing w:after="0"/>
              <w:rPr>
                <w:sz w:val="20"/>
                <w:szCs w:val="20"/>
                <w:color w:val="auto"/>
              </w:rPr>
            </w:pPr>
            <w:r>
              <w:rPr>
                <w:rFonts w:ascii="Arial" w:cs="Arial" w:eastAsia="Arial" w:hAnsi="Arial"/>
                <w:sz w:val="17"/>
                <w:szCs w:val="17"/>
                <w:color w:val="auto"/>
              </w:rPr>
              <w:t>Merger, Conversion, Consolidation or Succession to Business of Trustee</w:t>
            </w:r>
          </w:p>
        </w:tc>
        <w:tc>
          <w:tcPr>
            <w:tcW w:w="158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09"/>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6.13</w:t>
            </w:r>
          </w:p>
        </w:tc>
        <w:tc>
          <w:tcPr>
            <w:tcW w:w="340" w:type="dxa"/>
            <w:vAlign w:val="bottom"/>
          </w:tcPr>
          <w:p>
            <w:pPr>
              <w:spacing w:after="0"/>
              <w:rPr>
                <w:sz w:val="18"/>
                <w:szCs w:val="18"/>
                <w:color w:val="auto"/>
              </w:rPr>
            </w:pPr>
          </w:p>
        </w:tc>
        <w:tc>
          <w:tcPr>
            <w:tcW w:w="8200" w:type="dxa"/>
            <w:vAlign w:val="bottom"/>
          </w:tcPr>
          <w:p>
            <w:pPr>
              <w:ind w:left="240"/>
              <w:spacing w:after="0"/>
              <w:rPr>
                <w:sz w:val="20"/>
                <w:szCs w:val="20"/>
                <w:color w:val="auto"/>
              </w:rPr>
            </w:pPr>
            <w:r>
              <w:rPr>
                <w:rFonts w:ascii="Arial" w:cs="Arial" w:eastAsia="Arial" w:hAnsi="Arial"/>
                <w:sz w:val="17"/>
                <w:szCs w:val="17"/>
                <w:color w:val="auto"/>
              </w:rPr>
              <w:t>Preferential Collection of Claims Against the Issuer</w:t>
            </w:r>
          </w:p>
        </w:tc>
        <w:tc>
          <w:tcPr>
            <w:tcW w:w="158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411"/>
        </w:trPr>
        <w:tc>
          <w:tcPr>
            <w:tcW w:w="1120" w:type="dxa"/>
            <w:vAlign w:val="bottom"/>
          </w:tcPr>
          <w:p>
            <w:pPr>
              <w:spacing w:after="0"/>
              <w:rPr>
                <w:sz w:val="20"/>
                <w:szCs w:val="20"/>
                <w:color w:val="auto"/>
              </w:rPr>
            </w:pPr>
            <w:r>
              <w:rPr>
                <w:rFonts w:ascii="Arial" w:cs="Arial" w:eastAsia="Arial" w:hAnsi="Arial"/>
                <w:sz w:val="17"/>
                <w:szCs w:val="17"/>
                <w:color w:val="auto"/>
              </w:rPr>
              <w:t>ARTICLE 7</w:t>
            </w:r>
          </w:p>
        </w:tc>
        <w:tc>
          <w:tcPr>
            <w:tcW w:w="8540" w:type="dxa"/>
            <w:vAlign w:val="bottom"/>
            <w:gridSpan w:val="2"/>
          </w:tcPr>
          <w:p>
            <w:pPr>
              <w:spacing w:after="0"/>
              <w:rPr>
                <w:sz w:val="20"/>
                <w:szCs w:val="20"/>
                <w:color w:val="auto"/>
              </w:rPr>
            </w:pPr>
            <w:r>
              <w:rPr>
                <w:rFonts w:ascii="Arial" w:cs="Arial" w:eastAsia="Arial" w:hAnsi="Arial"/>
                <w:sz w:val="17"/>
                <w:szCs w:val="17"/>
                <w:color w:val="auto"/>
              </w:rPr>
              <w:t>CONCERNING THE SECURITYHOLDERS</w:t>
            </w:r>
          </w:p>
        </w:tc>
        <w:tc>
          <w:tcPr>
            <w:tcW w:w="158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7.01</w:t>
            </w:r>
          </w:p>
        </w:tc>
        <w:tc>
          <w:tcPr>
            <w:tcW w:w="340" w:type="dxa"/>
            <w:vAlign w:val="bottom"/>
          </w:tcPr>
          <w:p>
            <w:pPr>
              <w:spacing w:after="0"/>
              <w:rPr>
                <w:sz w:val="17"/>
                <w:szCs w:val="17"/>
                <w:color w:val="auto"/>
              </w:rPr>
            </w:pPr>
          </w:p>
        </w:tc>
        <w:tc>
          <w:tcPr>
            <w:tcW w:w="8200" w:type="dxa"/>
            <w:vAlign w:val="bottom"/>
          </w:tcPr>
          <w:p>
            <w:pPr>
              <w:ind w:left="240"/>
              <w:spacing w:after="0"/>
              <w:rPr>
                <w:sz w:val="20"/>
                <w:szCs w:val="20"/>
                <w:color w:val="auto"/>
              </w:rPr>
            </w:pPr>
            <w:r>
              <w:rPr>
                <w:rFonts w:ascii="Arial" w:cs="Arial" w:eastAsia="Arial" w:hAnsi="Arial"/>
                <w:sz w:val="17"/>
                <w:szCs w:val="17"/>
                <w:color w:val="auto"/>
              </w:rPr>
              <w:t>Evidence of Action Taken by Securityholders</w:t>
            </w:r>
          </w:p>
        </w:tc>
        <w:tc>
          <w:tcPr>
            <w:tcW w:w="158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7.02</w:t>
            </w:r>
          </w:p>
        </w:tc>
        <w:tc>
          <w:tcPr>
            <w:tcW w:w="340" w:type="dxa"/>
            <w:vAlign w:val="bottom"/>
          </w:tcPr>
          <w:p>
            <w:pPr>
              <w:spacing w:after="0"/>
              <w:rPr>
                <w:sz w:val="17"/>
                <w:szCs w:val="17"/>
                <w:color w:val="auto"/>
              </w:rPr>
            </w:pPr>
          </w:p>
        </w:tc>
        <w:tc>
          <w:tcPr>
            <w:tcW w:w="8200" w:type="dxa"/>
            <w:vAlign w:val="bottom"/>
          </w:tcPr>
          <w:p>
            <w:pPr>
              <w:ind w:left="240"/>
              <w:spacing w:after="0"/>
              <w:rPr>
                <w:sz w:val="20"/>
                <w:szCs w:val="20"/>
                <w:color w:val="auto"/>
              </w:rPr>
            </w:pPr>
            <w:r>
              <w:rPr>
                <w:rFonts w:ascii="Arial" w:cs="Arial" w:eastAsia="Arial" w:hAnsi="Arial"/>
                <w:sz w:val="17"/>
                <w:szCs w:val="17"/>
                <w:color w:val="auto"/>
              </w:rPr>
              <w:t>Proof of Execution of Instruments and of Holding of Securities</w:t>
            </w:r>
          </w:p>
        </w:tc>
        <w:tc>
          <w:tcPr>
            <w:tcW w:w="158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7.03</w:t>
            </w:r>
          </w:p>
        </w:tc>
        <w:tc>
          <w:tcPr>
            <w:tcW w:w="340" w:type="dxa"/>
            <w:vAlign w:val="bottom"/>
          </w:tcPr>
          <w:p>
            <w:pPr>
              <w:spacing w:after="0"/>
              <w:rPr>
                <w:sz w:val="17"/>
                <w:szCs w:val="17"/>
                <w:color w:val="auto"/>
              </w:rPr>
            </w:pPr>
          </w:p>
        </w:tc>
        <w:tc>
          <w:tcPr>
            <w:tcW w:w="8200" w:type="dxa"/>
            <w:vAlign w:val="bottom"/>
          </w:tcPr>
          <w:p>
            <w:pPr>
              <w:ind w:left="240"/>
              <w:spacing w:after="0"/>
              <w:rPr>
                <w:sz w:val="20"/>
                <w:szCs w:val="20"/>
                <w:color w:val="auto"/>
              </w:rPr>
            </w:pPr>
            <w:r>
              <w:rPr>
                <w:rFonts w:ascii="Arial" w:cs="Arial" w:eastAsia="Arial" w:hAnsi="Arial"/>
                <w:sz w:val="17"/>
                <w:szCs w:val="17"/>
                <w:color w:val="auto"/>
              </w:rPr>
              <w:t>Holders to Be Treated as Owners</w:t>
            </w:r>
          </w:p>
        </w:tc>
        <w:tc>
          <w:tcPr>
            <w:tcW w:w="158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7.04</w:t>
            </w:r>
          </w:p>
        </w:tc>
        <w:tc>
          <w:tcPr>
            <w:tcW w:w="340" w:type="dxa"/>
            <w:vAlign w:val="bottom"/>
          </w:tcPr>
          <w:p>
            <w:pPr>
              <w:spacing w:after="0"/>
              <w:rPr>
                <w:sz w:val="17"/>
                <w:szCs w:val="17"/>
                <w:color w:val="auto"/>
              </w:rPr>
            </w:pPr>
          </w:p>
        </w:tc>
        <w:tc>
          <w:tcPr>
            <w:tcW w:w="8200" w:type="dxa"/>
            <w:vAlign w:val="bottom"/>
          </w:tcPr>
          <w:p>
            <w:pPr>
              <w:ind w:left="240"/>
              <w:spacing w:after="0"/>
              <w:rPr>
                <w:sz w:val="20"/>
                <w:szCs w:val="20"/>
                <w:color w:val="auto"/>
              </w:rPr>
            </w:pPr>
            <w:r>
              <w:rPr>
                <w:rFonts w:ascii="Arial" w:cs="Arial" w:eastAsia="Arial" w:hAnsi="Arial"/>
                <w:sz w:val="17"/>
                <w:szCs w:val="17"/>
                <w:color w:val="auto"/>
              </w:rPr>
              <w:t>Securities Owned by Issuer Deemed Not Outstanding</w:t>
            </w:r>
          </w:p>
        </w:tc>
        <w:tc>
          <w:tcPr>
            <w:tcW w:w="158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09"/>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7.05</w:t>
            </w:r>
          </w:p>
        </w:tc>
        <w:tc>
          <w:tcPr>
            <w:tcW w:w="340" w:type="dxa"/>
            <w:vAlign w:val="bottom"/>
          </w:tcPr>
          <w:p>
            <w:pPr>
              <w:spacing w:after="0"/>
              <w:rPr>
                <w:sz w:val="18"/>
                <w:szCs w:val="18"/>
                <w:color w:val="auto"/>
              </w:rPr>
            </w:pPr>
          </w:p>
        </w:tc>
        <w:tc>
          <w:tcPr>
            <w:tcW w:w="8200" w:type="dxa"/>
            <w:vAlign w:val="bottom"/>
          </w:tcPr>
          <w:p>
            <w:pPr>
              <w:ind w:left="240"/>
              <w:spacing w:after="0"/>
              <w:rPr>
                <w:sz w:val="20"/>
                <w:szCs w:val="20"/>
                <w:color w:val="auto"/>
              </w:rPr>
            </w:pPr>
            <w:r>
              <w:rPr>
                <w:rFonts w:ascii="Arial" w:cs="Arial" w:eastAsia="Arial" w:hAnsi="Arial"/>
                <w:sz w:val="17"/>
                <w:szCs w:val="17"/>
                <w:color w:val="auto"/>
              </w:rPr>
              <w:t>Right of Revocation of Action Taken</w:t>
            </w:r>
          </w:p>
        </w:tc>
        <w:tc>
          <w:tcPr>
            <w:tcW w:w="158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411"/>
        </w:trPr>
        <w:tc>
          <w:tcPr>
            <w:tcW w:w="1120" w:type="dxa"/>
            <w:vAlign w:val="bottom"/>
          </w:tcPr>
          <w:p>
            <w:pPr>
              <w:spacing w:after="0"/>
              <w:rPr>
                <w:sz w:val="20"/>
                <w:szCs w:val="20"/>
                <w:color w:val="auto"/>
              </w:rPr>
            </w:pPr>
            <w:r>
              <w:rPr>
                <w:rFonts w:ascii="Arial" w:cs="Arial" w:eastAsia="Arial" w:hAnsi="Arial"/>
                <w:sz w:val="17"/>
                <w:szCs w:val="17"/>
                <w:color w:val="auto"/>
              </w:rPr>
              <w:t>ARTICLE 8</w:t>
            </w:r>
          </w:p>
        </w:tc>
        <w:tc>
          <w:tcPr>
            <w:tcW w:w="8540" w:type="dxa"/>
            <w:vAlign w:val="bottom"/>
            <w:gridSpan w:val="2"/>
          </w:tcPr>
          <w:p>
            <w:pPr>
              <w:spacing w:after="0"/>
              <w:rPr>
                <w:sz w:val="20"/>
                <w:szCs w:val="20"/>
                <w:color w:val="auto"/>
              </w:rPr>
            </w:pPr>
            <w:r>
              <w:rPr>
                <w:rFonts w:ascii="Arial" w:cs="Arial" w:eastAsia="Arial" w:hAnsi="Arial"/>
                <w:sz w:val="17"/>
                <w:szCs w:val="17"/>
                <w:color w:val="auto"/>
              </w:rPr>
              <w:t>SUPPLEMENTAL INDENTURES</w:t>
            </w:r>
          </w:p>
        </w:tc>
        <w:tc>
          <w:tcPr>
            <w:tcW w:w="158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8.01</w:t>
            </w:r>
          </w:p>
        </w:tc>
        <w:tc>
          <w:tcPr>
            <w:tcW w:w="340" w:type="dxa"/>
            <w:vAlign w:val="bottom"/>
          </w:tcPr>
          <w:p>
            <w:pPr>
              <w:spacing w:after="0"/>
              <w:rPr>
                <w:sz w:val="17"/>
                <w:szCs w:val="17"/>
                <w:color w:val="auto"/>
              </w:rPr>
            </w:pPr>
          </w:p>
        </w:tc>
        <w:tc>
          <w:tcPr>
            <w:tcW w:w="8200" w:type="dxa"/>
            <w:vAlign w:val="bottom"/>
          </w:tcPr>
          <w:p>
            <w:pPr>
              <w:ind w:left="240"/>
              <w:spacing w:after="0"/>
              <w:rPr>
                <w:sz w:val="20"/>
                <w:szCs w:val="20"/>
                <w:color w:val="auto"/>
              </w:rPr>
            </w:pPr>
            <w:r>
              <w:rPr>
                <w:rFonts w:ascii="Arial" w:cs="Arial" w:eastAsia="Arial" w:hAnsi="Arial"/>
                <w:sz w:val="17"/>
                <w:szCs w:val="17"/>
                <w:color w:val="auto"/>
              </w:rPr>
              <w:t>Supplemental Indentures Without Consent of Securityholders</w:t>
            </w:r>
          </w:p>
        </w:tc>
        <w:tc>
          <w:tcPr>
            <w:tcW w:w="158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8.02</w:t>
            </w:r>
          </w:p>
        </w:tc>
        <w:tc>
          <w:tcPr>
            <w:tcW w:w="340" w:type="dxa"/>
            <w:vAlign w:val="bottom"/>
          </w:tcPr>
          <w:p>
            <w:pPr>
              <w:spacing w:after="0"/>
              <w:rPr>
                <w:sz w:val="17"/>
                <w:szCs w:val="17"/>
                <w:color w:val="auto"/>
              </w:rPr>
            </w:pPr>
          </w:p>
        </w:tc>
        <w:tc>
          <w:tcPr>
            <w:tcW w:w="8200" w:type="dxa"/>
            <w:vAlign w:val="bottom"/>
          </w:tcPr>
          <w:p>
            <w:pPr>
              <w:ind w:left="240"/>
              <w:spacing w:after="0"/>
              <w:rPr>
                <w:sz w:val="20"/>
                <w:szCs w:val="20"/>
                <w:color w:val="auto"/>
              </w:rPr>
            </w:pPr>
            <w:r>
              <w:rPr>
                <w:rFonts w:ascii="Arial" w:cs="Arial" w:eastAsia="Arial" w:hAnsi="Arial"/>
                <w:sz w:val="17"/>
                <w:szCs w:val="17"/>
                <w:color w:val="auto"/>
              </w:rPr>
              <w:t>Supplemental Indentures With Consent of Securityholders</w:t>
            </w:r>
          </w:p>
        </w:tc>
        <w:tc>
          <w:tcPr>
            <w:tcW w:w="158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8.03</w:t>
            </w:r>
          </w:p>
        </w:tc>
        <w:tc>
          <w:tcPr>
            <w:tcW w:w="340" w:type="dxa"/>
            <w:vAlign w:val="bottom"/>
          </w:tcPr>
          <w:p>
            <w:pPr>
              <w:spacing w:after="0"/>
              <w:rPr>
                <w:sz w:val="17"/>
                <w:szCs w:val="17"/>
                <w:color w:val="auto"/>
              </w:rPr>
            </w:pPr>
          </w:p>
        </w:tc>
        <w:tc>
          <w:tcPr>
            <w:tcW w:w="8200" w:type="dxa"/>
            <w:vAlign w:val="bottom"/>
          </w:tcPr>
          <w:p>
            <w:pPr>
              <w:ind w:left="240"/>
              <w:spacing w:after="0"/>
              <w:rPr>
                <w:sz w:val="20"/>
                <w:szCs w:val="20"/>
                <w:color w:val="auto"/>
              </w:rPr>
            </w:pPr>
            <w:r>
              <w:rPr>
                <w:rFonts w:ascii="Arial" w:cs="Arial" w:eastAsia="Arial" w:hAnsi="Arial"/>
                <w:sz w:val="17"/>
                <w:szCs w:val="17"/>
                <w:color w:val="auto"/>
              </w:rPr>
              <w:t>Effect of Supplemental Indenture</w:t>
            </w:r>
          </w:p>
        </w:tc>
        <w:tc>
          <w:tcPr>
            <w:tcW w:w="158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8.04</w:t>
            </w:r>
          </w:p>
        </w:tc>
        <w:tc>
          <w:tcPr>
            <w:tcW w:w="340" w:type="dxa"/>
            <w:vAlign w:val="bottom"/>
          </w:tcPr>
          <w:p>
            <w:pPr>
              <w:spacing w:after="0"/>
              <w:rPr>
                <w:sz w:val="17"/>
                <w:szCs w:val="17"/>
                <w:color w:val="auto"/>
              </w:rPr>
            </w:pPr>
          </w:p>
        </w:tc>
        <w:tc>
          <w:tcPr>
            <w:tcW w:w="8200" w:type="dxa"/>
            <w:vAlign w:val="bottom"/>
          </w:tcPr>
          <w:p>
            <w:pPr>
              <w:ind w:left="240"/>
              <w:spacing w:after="0"/>
              <w:rPr>
                <w:sz w:val="20"/>
                <w:szCs w:val="20"/>
                <w:color w:val="auto"/>
              </w:rPr>
            </w:pPr>
            <w:r>
              <w:rPr>
                <w:rFonts w:ascii="Arial" w:cs="Arial" w:eastAsia="Arial" w:hAnsi="Arial"/>
                <w:sz w:val="17"/>
                <w:szCs w:val="17"/>
                <w:color w:val="auto"/>
              </w:rPr>
              <w:t>Documents to Be Given to Trustee</w:t>
            </w:r>
          </w:p>
        </w:tc>
        <w:tc>
          <w:tcPr>
            <w:tcW w:w="158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09"/>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8.05</w:t>
            </w:r>
          </w:p>
        </w:tc>
        <w:tc>
          <w:tcPr>
            <w:tcW w:w="340" w:type="dxa"/>
            <w:vAlign w:val="bottom"/>
          </w:tcPr>
          <w:p>
            <w:pPr>
              <w:spacing w:after="0"/>
              <w:rPr>
                <w:sz w:val="18"/>
                <w:szCs w:val="18"/>
                <w:color w:val="auto"/>
              </w:rPr>
            </w:pPr>
          </w:p>
        </w:tc>
        <w:tc>
          <w:tcPr>
            <w:tcW w:w="8200" w:type="dxa"/>
            <w:vAlign w:val="bottom"/>
          </w:tcPr>
          <w:p>
            <w:pPr>
              <w:ind w:left="240"/>
              <w:spacing w:after="0"/>
              <w:rPr>
                <w:sz w:val="20"/>
                <w:szCs w:val="20"/>
                <w:color w:val="auto"/>
              </w:rPr>
            </w:pPr>
            <w:r>
              <w:rPr>
                <w:rFonts w:ascii="Arial" w:cs="Arial" w:eastAsia="Arial" w:hAnsi="Arial"/>
                <w:sz w:val="17"/>
                <w:szCs w:val="17"/>
                <w:color w:val="auto"/>
              </w:rPr>
              <w:t>Notation on Securities in Respect of Supplemental Indentures</w:t>
            </w:r>
          </w:p>
        </w:tc>
        <w:tc>
          <w:tcPr>
            <w:tcW w:w="158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411"/>
        </w:trPr>
        <w:tc>
          <w:tcPr>
            <w:tcW w:w="1120" w:type="dxa"/>
            <w:vAlign w:val="bottom"/>
          </w:tcPr>
          <w:p>
            <w:pPr>
              <w:spacing w:after="0"/>
              <w:rPr>
                <w:sz w:val="20"/>
                <w:szCs w:val="20"/>
                <w:color w:val="auto"/>
              </w:rPr>
            </w:pPr>
            <w:r>
              <w:rPr>
                <w:rFonts w:ascii="Arial" w:cs="Arial" w:eastAsia="Arial" w:hAnsi="Arial"/>
                <w:sz w:val="17"/>
                <w:szCs w:val="17"/>
                <w:color w:val="auto"/>
              </w:rPr>
              <w:t>ARTICLE 9</w:t>
            </w:r>
          </w:p>
        </w:tc>
        <w:tc>
          <w:tcPr>
            <w:tcW w:w="8540" w:type="dxa"/>
            <w:vAlign w:val="bottom"/>
            <w:gridSpan w:val="2"/>
          </w:tcPr>
          <w:p>
            <w:pPr>
              <w:spacing w:after="0"/>
              <w:rPr>
                <w:sz w:val="20"/>
                <w:szCs w:val="20"/>
                <w:color w:val="auto"/>
              </w:rPr>
            </w:pPr>
            <w:r>
              <w:rPr>
                <w:rFonts w:ascii="Arial" w:cs="Arial" w:eastAsia="Arial" w:hAnsi="Arial"/>
                <w:sz w:val="17"/>
                <w:szCs w:val="17"/>
                <w:color w:val="auto"/>
              </w:rPr>
              <w:t>CONSOLIDATION, MERGER, SALE OR CONVEYANCE</w:t>
            </w:r>
          </w:p>
        </w:tc>
        <w:tc>
          <w:tcPr>
            <w:tcW w:w="158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198"/>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9.01</w:t>
            </w:r>
          </w:p>
        </w:tc>
        <w:tc>
          <w:tcPr>
            <w:tcW w:w="340" w:type="dxa"/>
            <w:vAlign w:val="bottom"/>
          </w:tcPr>
          <w:p>
            <w:pPr>
              <w:spacing w:after="0"/>
              <w:rPr>
                <w:sz w:val="17"/>
                <w:szCs w:val="17"/>
                <w:color w:val="auto"/>
              </w:rPr>
            </w:pPr>
          </w:p>
        </w:tc>
        <w:tc>
          <w:tcPr>
            <w:tcW w:w="8200" w:type="dxa"/>
            <w:vAlign w:val="bottom"/>
          </w:tcPr>
          <w:p>
            <w:pPr>
              <w:ind w:left="240"/>
              <w:spacing w:after="0"/>
              <w:rPr>
                <w:sz w:val="20"/>
                <w:szCs w:val="20"/>
                <w:color w:val="auto"/>
              </w:rPr>
            </w:pPr>
            <w:r>
              <w:rPr>
                <w:rFonts w:ascii="Arial" w:cs="Arial" w:eastAsia="Arial" w:hAnsi="Arial"/>
                <w:sz w:val="17"/>
                <w:szCs w:val="17"/>
                <w:color w:val="auto"/>
              </w:rPr>
              <w:t>Issuer May Consolidate, Etc., on Certain Terms</w:t>
            </w:r>
          </w:p>
        </w:tc>
        <w:tc>
          <w:tcPr>
            <w:tcW w:w="158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09"/>
        </w:trPr>
        <w:tc>
          <w:tcPr>
            <w:tcW w:w="1120" w:type="dxa"/>
            <w:vAlign w:val="bottom"/>
          </w:tcPr>
          <w:p>
            <w:pPr>
              <w:ind w:left="300"/>
              <w:spacing w:after="0"/>
              <w:rPr>
                <w:sz w:val="20"/>
                <w:szCs w:val="20"/>
                <w:color w:val="auto"/>
              </w:rPr>
            </w:pPr>
            <w:r>
              <w:rPr>
                <w:rFonts w:ascii="Arial" w:cs="Arial" w:eastAsia="Arial" w:hAnsi="Arial"/>
                <w:sz w:val="17"/>
                <w:szCs w:val="17"/>
                <w:color w:val="auto"/>
                <w:w w:val="84"/>
              </w:rPr>
              <w:t>Section 9.02</w:t>
            </w:r>
          </w:p>
        </w:tc>
        <w:tc>
          <w:tcPr>
            <w:tcW w:w="340" w:type="dxa"/>
            <w:vAlign w:val="bottom"/>
          </w:tcPr>
          <w:p>
            <w:pPr>
              <w:spacing w:after="0"/>
              <w:rPr>
                <w:sz w:val="18"/>
                <w:szCs w:val="18"/>
                <w:color w:val="auto"/>
              </w:rPr>
            </w:pPr>
          </w:p>
        </w:tc>
        <w:tc>
          <w:tcPr>
            <w:tcW w:w="8200" w:type="dxa"/>
            <w:vAlign w:val="bottom"/>
          </w:tcPr>
          <w:p>
            <w:pPr>
              <w:ind w:left="240"/>
              <w:spacing w:after="0"/>
              <w:rPr>
                <w:sz w:val="20"/>
                <w:szCs w:val="20"/>
                <w:color w:val="auto"/>
              </w:rPr>
            </w:pPr>
            <w:r>
              <w:rPr>
                <w:rFonts w:ascii="Arial" w:cs="Arial" w:eastAsia="Arial" w:hAnsi="Arial"/>
                <w:sz w:val="17"/>
                <w:szCs w:val="17"/>
                <w:color w:val="auto"/>
              </w:rPr>
              <w:t>Successor Issuer Substituted</w:t>
            </w:r>
          </w:p>
        </w:tc>
        <w:tc>
          <w:tcPr>
            <w:tcW w:w="158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411"/>
        </w:trPr>
        <w:tc>
          <w:tcPr>
            <w:tcW w:w="9660" w:type="dxa"/>
            <w:vAlign w:val="bottom"/>
            <w:gridSpan w:val="3"/>
          </w:tcPr>
          <w:p>
            <w:pPr>
              <w:spacing w:after="0"/>
              <w:rPr>
                <w:sz w:val="20"/>
                <w:szCs w:val="20"/>
                <w:color w:val="auto"/>
              </w:rPr>
            </w:pPr>
            <w:r>
              <w:rPr>
                <w:rFonts w:ascii="Arial" w:cs="Arial" w:eastAsia="Arial" w:hAnsi="Arial"/>
                <w:sz w:val="17"/>
                <w:szCs w:val="17"/>
                <w:color w:val="auto"/>
              </w:rPr>
              <w:t>ARTICLE 10   SATISFACTION AND DISCHARGE OF INDENTURE; DEFEASANCE; UNCLAIMED MONEYS</w:t>
            </w:r>
          </w:p>
        </w:tc>
        <w:tc>
          <w:tcPr>
            <w:tcW w:w="158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198"/>
        </w:trPr>
        <w:tc>
          <w:tcPr>
            <w:tcW w:w="1460" w:type="dxa"/>
            <w:vAlign w:val="bottom"/>
            <w:gridSpan w:val="2"/>
          </w:tcPr>
          <w:p>
            <w:pPr>
              <w:ind w:left="300"/>
              <w:spacing w:after="0"/>
              <w:rPr>
                <w:sz w:val="20"/>
                <w:szCs w:val="20"/>
                <w:color w:val="auto"/>
              </w:rPr>
            </w:pPr>
            <w:r>
              <w:rPr>
                <w:rFonts w:ascii="Arial" w:cs="Arial" w:eastAsia="Arial" w:hAnsi="Arial"/>
                <w:sz w:val="17"/>
                <w:szCs w:val="17"/>
                <w:color w:val="auto"/>
              </w:rPr>
              <w:t>Section 10.01</w:t>
            </w:r>
          </w:p>
        </w:tc>
        <w:tc>
          <w:tcPr>
            <w:tcW w:w="8200" w:type="dxa"/>
            <w:vAlign w:val="bottom"/>
          </w:tcPr>
          <w:p>
            <w:pPr>
              <w:ind w:left="240"/>
              <w:spacing w:after="0"/>
              <w:rPr>
                <w:sz w:val="20"/>
                <w:szCs w:val="20"/>
                <w:color w:val="auto"/>
              </w:rPr>
            </w:pPr>
            <w:r>
              <w:rPr>
                <w:rFonts w:ascii="Arial" w:cs="Arial" w:eastAsia="Arial" w:hAnsi="Arial"/>
                <w:sz w:val="17"/>
                <w:szCs w:val="17"/>
                <w:color w:val="auto"/>
              </w:rPr>
              <w:t>Satisfaction and Discharge of Indenture; Defeasance</w:t>
            </w:r>
          </w:p>
        </w:tc>
        <w:tc>
          <w:tcPr>
            <w:tcW w:w="158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198"/>
        </w:trPr>
        <w:tc>
          <w:tcPr>
            <w:tcW w:w="1460" w:type="dxa"/>
            <w:vAlign w:val="bottom"/>
            <w:gridSpan w:val="2"/>
          </w:tcPr>
          <w:p>
            <w:pPr>
              <w:ind w:left="300"/>
              <w:spacing w:after="0"/>
              <w:rPr>
                <w:sz w:val="20"/>
                <w:szCs w:val="20"/>
                <w:color w:val="auto"/>
              </w:rPr>
            </w:pPr>
            <w:r>
              <w:rPr>
                <w:rFonts w:ascii="Arial" w:cs="Arial" w:eastAsia="Arial" w:hAnsi="Arial"/>
                <w:sz w:val="17"/>
                <w:szCs w:val="17"/>
                <w:color w:val="auto"/>
              </w:rPr>
              <w:t>Section 10.02</w:t>
            </w:r>
          </w:p>
        </w:tc>
        <w:tc>
          <w:tcPr>
            <w:tcW w:w="8200" w:type="dxa"/>
            <w:vAlign w:val="bottom"/>
          </w:tcPr>
          <w:p>
            <w:pPr>
              <w:ind w:left="240"/>
              <w:spacing w:after="0"/>
              <w:rPr>
                <w:sz w:val="20"/>
                <w:szCs w:val="20"/>
                <w:color w:val="auto"/>
              </w:rPr>
            </w:pPr>
            <w:r>
              <w:rPr>
                <w:rFonts w:ascii="Arial" w:cs="Arial" w:eastAsia="Arial" w:hAnsi="Arial"/>
                <w:sz w:val="17"/>
                <w:szCs w:val="17"/>
                <w:color w:val="auto"/>
              </w:rPr>
              <w:t>Application by Trustee of Funds Deposited for Payment of Securities</w:t>
            </w:r>
          </w:p>
        </w:tc>
        <w:tc>
          <w:tcPr>
            <w:tcW w:w="158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198"/>
        </w:trPr>
        <w:tc>
          <w:tcPr>
            <w:tcW w:w="1460" w:type="dxa"/>
            <w:vAlign w:val="bottom"/>
            <w:gridSpan w:val="2"/>
          </w:tcPr>
          <w:p>
            <w:pPr>
              <w:ind w:left="300"/>
              <w:spacing w:after="0"/>
              <w:rPr>
                <w:sz w:val="20"/>
                <w:szCs w:val="20"/>
                <w:color w:val="auto"/>
              </w:rPr>
            </w:pPr>
            <w:r>
              <w:rPr>
                <w:rFonts w:ascii="Arial" w:cs="Arial" w:eastAsia="Arial" w:hAnsi="Arial"/>
                <w:sz w:val="17"/>
                <w:szCs w:val="17"/>
                <w:color w:val="auto"/>
              </w:rPr>
              <w:t>Section 10.03</w:t>
            </w:r>
          </w:p>
        </w:tc>
        <w:tc>
          <w:tcPr>
            <w:tcW w:w="8200" w:type="dxa"/>
            <w:vAlign w:val="bottom"/>
          </w:tcPr>
          <w:p>
            <w:pPr>
              <w:ind w:left="240"/>
              <w:spacing w:after="0"/>
              <w:rPr>
                <w:sz w:val="20"/>
                <w:szCs w:val="20"/>
                <w:color w:val="auto"/>
              </w:rPr>
            </w:pPr>
            <w:r>
              <w:rPr>
                <w:rFonts w:ascii="Arial" w:cs="Arial" w:eastAsia="Arial" w:hAnsi="Arial"/>
                <w:sz w:val="17"/>
                <w:szCs w:val="17"/>
                <w:color w:val="auto"/>
              </w:rPr>
              <w:t>Repayment of Moneys Held by Paying Agent</w:t>
            </w:r>
          </w:p>
        </w:tc>
        <w:tc>
          <w:tcPr>
            <w:tcW w:w="158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198"/>
        </w:trPr>
        <w:tc>
          <w:tcPr>
            <w:tcW w:w="1460" w:type="dxa"/>
            <w:vAlign w:val="bottom"/>
            <w:gridSpan w:val="2"/>
          </w:tcPr>
          <w:p>
            <w:pPr>
              <w:ind w:left="300"/>
              <w:spacing w:after="0"/>
              <w:rPr>
                <w:sz w:val="20"/>
                <w:szCs w:val="20"/>
                <w:color w:val="auto"/>
              </w:rPr>
            </w:pPr>
            <w:r>
              <w:rPr>
                <w:rFonts w:ascii="Arial" w:cs="Arial" w:eastAsia="Arial" w:hAnsi="Arial"/>
                <w:sz w:val="17"/>
                <w:szCs w:val="17"/>
                <w:color w:val="auto"/>
              </w:rPr>
              <w:t>Section 10.04</w:t>
            </w:r>
          </w:p>
        </w:tc>
        <w:tc>
          <w:tcPr>
            <w:tcW w:w="8200" w:type="dxa"/>
            <w:vAlign w:val="bottom"/>
          </w:tcPr>
          <w:p>
            <w:pPr>
              <w:ind w:left="240"/>
              <w:spacing w:after="0"/>
              <w:rPr>
                <w:sz w:val="20"/>
                <w:szCs w:val="20"/>
                <w:color w:val="auto"/>
              </w:rPr>
            </w:pPr>
            <w:r>
              <w:rPr>
                <w:rFonts w:ascii="Arial" w:cs="Arial" w:eastAsia="Arial" w:hAnsi="Arial"/>
                <w:sz w:val="17"/>
                <w:szCs w:val="17"/>
                <w:color w:val="auto"/>
              </w:rPr>
              <w:t>Return of Moneys Held by Trustee and Paying Agent Unclaimed for Two Years</w:t>
            </w:r>
          </w:p>
        </w:tc>
        <w:tc>
          <w:tcPr>
            <w:tcW w:w="158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09"/>
        </w:trPr>
        <w:tc>
          <w:tcPr>
            <w:tcW w:w="1460" w:type="dxa"/>
            <w:vAlign w:val="bottom"/>
            <w:gridSpan w:val="2"/>
          </w:tcPr>
          <w:p>
            <w:pPr>
              <w:ind w:left="300"/>
              <w:spacing w:after="0"/>
              <w:rPr>
                <w:sz w:val="20"/>
                <w:szCs w:val="20"/>
                <w:color w:val="auto"/>
              </w:rPr>
            </w:pPr>
            <w:r>
              <w:rPr>
                <w:rFonts w:ascii="Arial" w:cs="Arial" w:eastAsia="Arial" w:hAnsi="Arial"/>
                <w:sz w:val="17"/>
                <w:szCs w:val="17"/>
                <w:color w:val="auto"/>
              </w:rPr>
              <w:t>Section 10.05</w:t>
            </w:r>
          </w:p>
        </w:tc>
        <w:tc>
          <w:tcPr>
            <w:tcW w:w="8200" w:type="dxa"/>
            <w:vAlign w:val="bottom"/>
          </w:tcPr>
          <w:p>
            <w:pPr>
              <w:ind w:left="240"/>
              <w:spacing w:after="0"/>
              <w:rPr>
                <w:sz w:val="20"/>
                <w:szCs w:val="20"/>
                <w:color w:val="auto"/>
              </w:rPr>
            </w:pPr>
            <w:r>
              <w:rPr>
                <w:rFonts w:ascii="Arial" w:cs="Arial" w:eastAsia="Arial" w:hAnsi="Arial"/>
                <w:sz w:val="17"/>
                <w:szCs w:val="17"/>
                <w:color w:val="auto"/>
              </w:rPr>
              <w:t>Indemnity for U.S. Government Obligations and Foreign Government Obligations</w:t>
            </w:r>
          </w:p>
        </w:tc>
        <w:tc>
          <w:tcPr>
            <w:tcW w:w="158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622"/>
        </w:trPr>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6" w:right="33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180" w:type="dxa"/>
            <w:vAlign w:val="bottom"/>
            <w:gridSpan w:val="2"/>
          </w:tcPr>
          <w:p>
            <w:pPr>
              <w:spacing w:after="0"/>
              <w:rPr>
                <w:sz w:val="20"/>
                <w:szCs w:val="20"/>
                <w:color w:val="auto"/>
              </w:rPr>
            </w:pPr>
            <w:r>
              <w:rPr>
                <w:rFonts w:ascii="Arial" w:cs="Arial" w:eastAsia="Arial" w:hAnsi="Arial"/>
                <w:sz w:val="17"/>
                <w:szCs w:val="17"/>
                <w:color w:val="auto"/>
              </w:rPr>
              <w:t>ARTICLE 11   MISCELLANEOUS PROVISIONS</w:t>
            </w:r>
          </w:p>
        </w:tc>
        <w:tc>
          <w:tcPr>
            <w:tcW w:w="206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198"/>
        </w:trPr>
        <w:tc>
          <w:tcPr>
            <w:tcW w:w="1460" w:type="dxa"/>
            <w:vAlign w:val="bottom"/>
          </w:tcPr>
          <w:p>
            <w:pPr>
              <w:ind w:left="300"/>
              <w:spacing w:after="0"/>
              <w:rPr>
                <w:sz w:val="20"/>
                <w:szCs w:val="20"/>
                <w:color w:val="auto"/>
              </w:rPr>
            </w:pPr>
            <w:r>
              <w:rPr>
                <w:rFonts w:ascii="Arial" w:cs="Arial" w:eastAsia="Arial" w:hAnsi="Arial"/>
                <w:sz w:val="17"/>
                <w:szCs w:val="17"/>
                <w:color w:val="auto"/>
              </w:rPr>
              <w:t>Section 11.01</w:t>
            </w:r>
          </w:p>
        </w:tc>
        <w:tc>
          <w:tcPr>
            <w:tcW w:w="7720" w:type="dxa"/>
            <w:vAlign w:val="bottom"/>
          </w:tcPr>
          <w:p>
            <w:pPr>
              <w:ind w:left="240"/>
              <w:spacing w:after="0"/>
              <w:rPr>
                <w:sz w:val="20"/>
                <w:szCs w:val="20"/>
                <w:color w:val="auto"/>
              </w:rPr>
            </w:pPr>
            <w:r>
              <w:rPr>
                <w:rFonts w:ascii="Arial" w:cs="Arial" w:eastAsia="Arial" w:hAnsi="Arial"/>
                <w:sz w:val="17"/>
                <w:szCs w:val="17"/>
                <w:color w:val="auto"/>
              </w:rPr>
              <w:t>No Recourse</w:t>
            </w:r>
          </w:p>
        </w:tc>
        <w:tc>
          <w:tcPr>
            <w:tcW w:w="206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198"/>
        </w:trPr>
        <w:tc>
          <w:tcPr>
            <w:tcW w:w="1460" w:type="dxa"/>
            <w:vAlign w:val="bottom"/>
          </w:tcPr>
          <w:p>
            <w:pPr>
              <w:ind w:left="300"/>
              <w:spacing w:after="0"/>
              <w:rPr>
                <w:sz w:val="20"/>
                <w:szCs w:val="20"/>
                <w:color w:val="auto"/>
              </w:rPr>
            </w:pPr>
            <w:r>
              <w:rPr>
                <w:rFonts w:ascii="Arial" w:cs="Arial" w:eastAsia="Arial" w:hAnsi="Arial"/>
                <w:sz w:val="17"/>
                <w:szCs w:val="17"/>
                <w:color w:val="auto"/>
              </w:rPr>
              <w:t>Section 11.02</w:t>
            </w:r>
          </w:p>
        </w:tc>
        <w:tc>
          <w:tcPr>
            <w:tcW w:w="7720" w:type="dxa"/>
            <w:vAlign w:val="bottom"/>
          </w:tcPr>
          <w:p>
            <w:pPr>
              <w:ind w:left="240"/>
              <w:spacing w:after="0"/>
              <w:rPr>
                <w:sz w:val="20"/>
                <w:szCs w:val="20"/>
                <w:color w:val="auto"/>
              </w:rPr>
            </w:pPr>
            <w:r>
              <w:rPr>
                <w:rFonts w:ascii="Arial" w:cs="Arial" w:eastAsia="Arial" w:hAnsi="Arial"/>
                <w:sz w:val="17"/>
                <w:szCs w:val="17"/>
                <w:color w:val="auto"/>
              </w:rPr>
              <w:t>Provisions of Indenture for the Sole Benefit of Parties and Holders of Securities</w:t>
            </w:r>
          </w:p>
        </w:tc>
        <w:tc>
          <w:tcPr>
            <w:tcW w:w="206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198"/>
        </w:trPr>
        <w:tc>
          <w:tcPr>
            <w:tcW w:w="1460" w:type="dxa"/>
            <w:vAlign w:val="bottom"/>
          </w:tcPr>
          <w:p>
            <w:pPr>
              <w:ind w:left="300"/>
              <w:spacing w:after="0"/>
              <w:rPr>
                <w:sz w:val="20"/>
                <w:szCs w:val="20"/>
                <w:color w:val="auto"/>
              </w:rPr>
            </w:pPr>
            <w:r>
              <w:rPr>
                <w:rFonts w:ascii="Arial" w:cs="Arial" w:eastAsia="Arial" w:hAnsi="Arial"/>
                <w:sz w:val="17"/>
                <w:szCs w:val="17"/>
                <w:color w:val="auto"/>
              </w:rPr>
              <w:t>Section 11.03</w:t>
            </w:r>
          </w:p>
        </w:tc>
        <w:tc>
          <w:tcPr>
            <w:tcW w:w="7720" w:type="dxa"/>
            <w:vAlign w:val="bottom"/>
          </w:tcPr>
          <w:p>
            <w:pPr>
              <w:ind w:left="240"/>
              <w:spacing w:after="0"/>
              <w:rPr>
                <w:sz w:val="20"/>
                <w:szCs w:val="20"/>
                <w:color w:val="auto"/>
              </w:rPr>
            </w:pPr>
            <w:r>
              <w:rPr>
                <w:rFonts w:ascii="Arial" w:cs="Arial" w:eastAsia="Arial" w:hAnsi="Arial"/>
                <w:sz w:val="17"/>
                <w:szCs w:val="17"/>
                <w:color w:val="auto"/>
              </w:rPr>
              <w:t>Successors and Assigns of Issuer Bound by Indenture</w:t>
            </w:r>
          </w:p>
        </w:tc>
        <w:tc>
          <w:tcPr>
            <w:tcW w:w="206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198"/>
        </w:trPr>
        <w:tc>
          <w:tcPr>
            <w:tcW w:w="1460" w:type="dxa"/>
            <w:vAlign w:val="bottom"/>
          </w:tcPr>
          <w:p>
            <w:pPr>
              <w:ind w:left="300"/>
              <w:spacing w:after="0"/>
              <w:rPr>
                <w:sz w:val="20"/>
                <w:szCs w:val="20"/>
                <w:color w:val="auto"/>
              </w:rPr>
            </w:pPr>
            <w:r>
              <w:rPr>
                <w:rFonts w:ascii="Arial" w:cs="Arial" w:eastAsia="Arial" w:hAnsi="Arial"/>
                <w:sz w:val="17"/>
                <w:szCs w:val="17"/>
                <w:color w:val="auto"/>
              </w:rPr>
              <w:t>Section 11.04</w:t>
            </w:r>
          </w:p>
        </w:tc>
        <w:tc>
          <w:tcPr>
            <w:tcW w:w="7720" w:type="dxa"/>
            <w:vAlign w:val="bottom"/>
          </w:tcPr>
          <w:p>
            <w:pPr>
              <w:ind w:left="240"/>
              <w:spacing w:after="0"/>
              <w:rPr>
                <w:sz w:val="20"/>
                <w:szCs w:val="20"/>
                <w:color w:val="auto"/>
              </w:rPr>
            </w:pPr>
            <w:r>
              <w:rPr>
                <w:rFonts w:ascii="Arial" w:cs="Arial" w:eastAsia="Arial" w:hAnsi="Arial"/>
                <w:sz w:val="17"/>
                <w:szCs w:val="17"/>
                <w:color w:val="auto"/>
              </w:rPr>
              <w:t>Notices and Demands on Issuer, Trustee and Holders of Securities</w:t>
            </w:r>
          </w:p>
        </w:tc>
        <w:tc>
          <w:tcPr>
            <w:tcW w:w="206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198"/>
        </w:trPr>
        <w:tc>
          <w:tcPr>
            <w:tcW w:w="1460" w:type="dxa"/>
            <w:vAlign w:val="bottom"/>
          </w:tcPr>
          <w:p>
            <w:pPr>
              <w:ind w:left="300"/>
              <w:spacing w:after="0"/>
              <w:rPr>
                <w:sz w:val="20"/>
                <w:szCs w:val="20"/>
                <w:color w:val="auto"/>
              </w:rPr>
            </w:pPr>
            <w:r>
              <w:rPr>
                <w:rFonts w:ascii="Arial" w:cs="Arial" w:eastAsia="Arial" w:hAnsi="Arial"/>
                <w:sz w:val="17"/>
                <w:szCs w:val="17"/>
                <w:color w:val="auto"/>
              </w:rPr>
              <w:t>Section 11.05</w:t>
            </w:r>
          </w:p>
        </w:tc>
        <w:tc>
          <w:tcPr>
            <w:tcW w:w="7720" w:type="dxa"/>
            <w:vAlign w:val="bottom"/>
          </w:tcPr>
          <w:p>
            <w:pPr>
              <w:ind w:left="240"/>
              <w:spacing w:after="0"/>
              <w:rPr>
                <w:sz w:val="20"/>
                <w:szCs w:val="20"/>
                <w:color w:val="auto"/>
              </w:rPr>
            </w:pPr>
            <w:r>
              <w:rPr>
                <w:rFonts w:ascii="Arial" w:cs="Arial" w:eastAsia="Arial" w:hAnsi="Arial"/>
                <w:sz w:val="17"/>
                <w:szCs w:val="17"/>
                <w:color w:val="auto"/>
              </w:rPr>
              <w:t>Officer’s Certificates and Opinions of Counsel; Statements to Be Contained Therein</w:t>
            </w:r>
          </w:p>
        </w:tc>
        <w:tc>
          <w:tcPr>
            <w:tcW w:w="206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198"/>
        </w:trPr>
        <w:tc>
          <w:tcPr>
            <w:tcW w:w="1460" w:type="dxa"/>
            <w:vAlign w:val="bottom"/>
          </w:tcPr>
          <w:p>
            <w:pPr>
              <w:ind w:left="300"/>
              <w:spacing w:after="0"/>
              <w:rPr>
                <w:sz w:val="20"/>
                <w:szCs w:val="20"/>
                <w:color w:val="auto"/>
              </w:rPr>
            </w:pPr>
            <w:r>
              <w:rPr>
                <w:rFonts w:ascii="Arial" w:cs="Arial" w:eastAsia="Arial" w:hAnsi="Arial"/>
                <w:sz w:val="17"/>
                <w:szCs w:val="17"/>
                <w:color w:val="auto"/>
              </w:rPr>
              <w:t>Section 11.06</w:t>
            </w:r>
          </w:p>
        </w:tc>
        <w:tc>
          <w:tcPr>
            <w:tcW w:w="7720" w:type="dxa"/>
            <w:vAlign w:val="bottom"/>
          </w:tcPr>
          <w:p>
            <w:pPr>
              <w:ind w:left="240"/>
              <w:spacing w:after="0"/>
              <w:rPr>
                <w:sz w:val="20"/>
                <w:szCs w:val="20"/>
                <w:color w:val="auto"/>
              </w:rPr>
            </w:pPr>
            <w:r>
              <w:rPr>
                <w:rFonts w:ascii="Arial" w:cs="Arial" w:eastAsia="Arial" w:hAnsi="Arial"/>
                <w:sz w:val="17"/>
                <w:szCs w:val="17"/>
                <w:color w:val="auto"/>
              </w:rPr>
              <w:t>Payments Due on Saturdays, Sundays and Holidays</w:t>
            </w:r>
          </w:p>
        </w:tc>
        <w:tc>
          <w:tcPr>
            <w:tcW w:w="206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198"/>
        </w:trPr>
        <w:tc>
          <w:tcPr>
            <w:tcW w:w="1460" w:type="dxa"/>
            <w:vAlign w:val="bottom"/>
          </w:tcPr>
          <w:p>
            <w:pPr>
              <w:ind w:left="300"/>
              <w:spacing w:after="0"/>
              <w:rPr>
                <w:sz w:val="20"/>
                <w:szCs w:val="20"/>
                <w:color w:val="auto"/>
              </w:rPr>
            </w:pPr>
            <w:r>
              <w:rPr>
                <w:rFonts w:ascii="Arial" w:cs="Arial" w:eastAsia="Arial" w:hAnsi="Arial"/>
                <w:sz w:val="17"/>
                <w:szCs w:val="17"/>
                <w:color w:val="auto"/>
              </w:rPr>
              <w:t>Section 11.07</w:t>
            </w:r>
          </w:p>
        </w:tc>
        <w:tc>
          <w:tcPr>
            <w:tcW w:w="7720" w:type="dxa"/>
            <w:vAlign w:val="bottom"/>
          </w:tcPr>
          <w:p>
            <w:pPr>
              <w:ind w:left="240"/>
              <w:spacing w:after="0"/>
              <w:rPr>
                <w:sz w:val="20"/>
                <w:szCs w:val="20"/>
                <w:color w:val="auto"/>
              </w:rPr>
            </w:pPr>
            <w:r>
              <w:rPr>
                <w:rFonts w:ascii="Arial" w:cs="Arial" w:eastAsia="Arial" w:hAnsi="Arial"/>
                <w:sz w:val="17"/>
                <w:szCs w:val="17"/>
                <w:color w:val="auto"/>
              </w:rPr>
              <w:t>Conflict of Any Provision of Indenture With Trust Indenture Act of 1939</w:t>
            </w:r>
          </w:p>
        </w:tc>
        <w:tc>
          <w:tcPr>
            <w:tcW w:w="206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198"/>
        </w:trPr>
        <w:tc>
          <w:tcPr>
            <w:tcW w:w="1460" w:type="dxa"/>
            <w:vAlign w:val="bottom"/>
          </w:tcPr>
          <w:p>
            <w:pPr>
              <w:ind w:left="300"/>
              <w:spacing w:after="0"/>
              <w:rPr>
                <w:sz w:val="20"/>
                <w:szCs w:val="20"/>
                <w:color w:val="auto"/>
              </w:rPr>
            </w:pPr>
            <w:r>
              <w:rPr>
                <w:rFonts w:ascii="Arial" w:cs="Arial" w:eastAsia="Arial" w:hAnsi="Arial"/>
                <w:sz w:val="17"/>
                <w:szCs w:val="17"/>
                <w:color w:val="auto"/>
              </w:rPr>
              <w:t>Section 11.08</w:t>
            </w:r>
          </w:p>
        </w:tc>
        <w:tc>
          <w:tcPr>
            <w:tcW w:w="7720" w:type="dxa"/>
            <w:vAlign w:val="bottom"/>
          </w:tcPr>
          <w:p>
            <w:pPr>
              <w:ind w:left="240"/>
              <w:spacing w:after="0"/>
              <w:rPr>
                <w:sz w:val="20"/>
                <w:szCs w:val="20"/>
                <w:color w:val="auto"/>
              </w:rPr>
            </w:pPr>
            <w:r>
              <w:rPr>
                <w:rFonts w:ascii="Arial" w:cs="Arial" w:eastAsia="Arial" w:hAnsi="Arial"/>
                <w:sz w:val="17"/>
                <w:szCs w:val="17"/>
                <w:color w:val="auto"/>
              </w:rPr>
              <w:t>New York Law to Govern</w:t>
            </w:r>
          </w:p>
        </w:tc>
        <w:tc>
          <w:tcPr>
            <w:tcW w:w="206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198"/>
        </w:trPr>
        <w:tc>
          <w:tcPr>
            <w:tcW w:w="1460" w:type="dxa"/>
            <w:vAlign w:val="bottom"/>
          </w:tcPr>
          <w:p>
            <w:pPr>
              <w:ind w:left="300"/>
              <w:spacing w:after="0"/>
              <w:rPr>
                <w:sz w:val="20"/>
                <w:szCs w:val="20"/>
                <w:color w:val="auto"/>
              </w:rPr>
            </w:pPr>
            <w:r>
              <w:rPr>
                <w:rFonts w:ascii="Arial" w:cs="Arial" w:eastAsia="Arial" w:hAnsi="Arial"/>
                <w:sz w:val="17"/>
                <w:szCs w:val="17"/>
                <w:color w:val="auto"/>
              </w:rPr>
              <w:t>Section 11.09</w:t>
            </w:r>
          </w:p>
        </w:tc>
        <w:tc>
          <w:tcPr>
            <w:tcW w:w="7720" w:type="dxa"/>
            <w:vAlign w:val="bottom"/>
          </w:tcPr>
          <w:p>
            <w:pPr>
              <w:ind w:left="240"/>
              <w:spacing w:after="0"/>
              <w:rPr>
                <w:sz w:val="20"/>
                <w:szCs w:val="20"/>
                <w:color w:val="auto"/>
              </w:rPr>
            </w:pPr>
            <w:r>
              <w:rPr>
                <w:rFonts w:ascii="Arial" w:cs="Arial" w:eastAsia="Arial" w:hAnsi="Arial"/>
                <w:sz w:val="17"/>
                <w:szCs w:val="17"/>
                <w:color w:val="auto"/>
              </w:rPr>
              <w:t>Counterparts</w:t>
            </w:r>
          </w:p>
        </w:tc>
        <w:tc>
          <w:tcPr>
            <w:tcW w:w="206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198"/>
        </w:trPr>
        <w:tc>
          <w:tcPr>
            <w:tcW w:w="1460" w:type="dxa"/>
            <w:vAlign w:val="bottom"/>
          </w:tcPr>
          <w:p>
            <w:pPr>
              <w:ind w:left="300"/>
              <w:spacing w:after="0"/>
              <w:rPr>
                <w:sz w:val="20"/>
                <w:szCs w:val="20"/>
                <w:color w:val="auto"/>
              </w:rPr>
            </w:pPr>
            <w:r>
              <w:rPr>
                <w:rFonts w:ascii="Arial" w:cs="Arial" w:eastAsia="Arial" w:hAnsi="Arial"/>
                <w:sz w:val="17"/>
                <w:szCs w:val="17"/>
                <w:color w:val="auto"/>
              </w:rPr>
              <w:t>Section 11.10</w:t>
            </w:r>
          </w:p>
        </w:tc>
        <w:tc>
          <w:tcPr>
            <w:tcW w:w="7720" w:type="dxa"/>
            <w:vAlign w:val="bottom"/>
          </w:tcPr>
          <w:p>
            <w:pPr>
              <w:ind w:left="240"/>
              <w:spacing w:after="0"/>
              <w:rPr>
                <w:sz w:val="20"/>
                <w:szCs w:val="20"/>
                <w:color w:val="auto"/>
              </w:rPr>
            </w:pPr>
            <w:r>
              <w:rPr>
                <w:rFonts w:ascii="Arial" w:cs="Arial" w:eastAsia="Arial" w:hAnsi="Arial"/>
                <w:sz w:val="17"/>
                <w:szCs w:val="17"/>
                <w:color w:val="auto"/>
              </w:rPr>
              <w:t>Effect of Headings</w:t>
            </w:r>
          </w:p>
        </w:tc>
        <w:tc>
          <w:tcPr>
            <w:tcW w:w="206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198"/>
        </w:trPr>
        <w:tc>
          <w:tcPr>
            <w:tcW w:w="1460" w:type="dxa"/>
            <w:vAlign w:val="bottom"/>
          </w:tcPr>
          <w:p>
            <w:pPr>
              <w:ind w:left="300"/>
              <w:spacing w:after="0"/>
              <w:rPr>
                <w:sz w:val="20"/>
                <w:szCs w:val="20"/>
                <w:color w:val="auto"/>
              </w:rPr>
            </w:pPr>
            <w:r>
              <w:rPr>
                <w:rFonts w:ascii="Arial" w:cs="Arial" w:eastAsia="Arial" w:hAnsi="Arial"/>
                <w:sz w:val="17"/>
                <w:szCs w:val="17"/>
                <w:color w:val="auto"/>
              </w:rPr>
              <w:t>Section 11.11</w:t>
            </w:r>
          </w:p>
        </w:tc>
        <w:tc>
          <w:tcPr>
            <w:tcW w:w="7720" w:type="dxa"/>
            <w:vAlign w:val="bottom"/>
          </w:tcPr>
          <w:p>
            <w:pPr>
              <w:ind w:left="240"/>
              <w:spacing w:after="0"/>
              <w:rPr>
                <w:sz w:val="20"/>
                <w:szCs w:val="20"/>
                <w:color w:val="auto"/>
              </w:rPr>
            </w:pPr>
            <w:r>
              <w:rPr>
                <w:rFonts w:ascii="Arial" w:cs="Arial" w:eastAsia="Arial" w:hAnsi="Arial"/>
                <w:sz w:val="17"/>
                <w:szCs w:val="17"/>
                <w:color w:val="auto"/>
              </w:rPr>
              <w:t>Actions by Successor</w:t>
            </w:r>
          </w:p>
        </w:tc>
        <w:tc>
          <w:tcPr>
            <w:tcW w:w="206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09"/>
        </w:trPr>
        <w:tc>
          <w:tcPr>
            <w:tcW w:w="1460" w:type="dxa"/>
            <w:vAlign w:val="bottom"/>
          </w:tcPr>
          <w:p>
            <w:pPr>
              <w:ind w:left="300"/>
              <w:spacing w:after="0"/>
              <w:rPr>
                <w:sz w:val="20"/>
                <w:szCs w:val="20"/>
                <w:color w:val="auto"/>
              </w:rPr>
            </w:pPr>
            <w:r>
              <w:rPr>
                <w:rFonts w:ascii="Arial" w:cs="Arial" w:eastAsia="Arial" w:hAnsi="Arial"/>
                <w:sz w:val="17"/>
                <w:szCs w:val="17"/>
                <w:color w:val="auto"/>
              </w:rPr>
              <w:t>Section 11.12</w:t>
            </w:r>
          </w:p>
        </w:tc>
        <w:tc>
          <w:tcPr>
            <w:tcW w:w="7720" w:type="dxa"/>
            <w:vAlign w:val="bottom"/>
          </w:tcPr>
          <w:p>
            <w:pPr>
              <w:ind w:left="240"/>
              <w:spacing w:after="0"/>
              <w:rPr>
                <w:sz w:val="20"/>
                <w:szCs w:val="20"/>
                <w:color w:val="auto"/>
              </w:rPr>
            </w:pPr>
            <w:r>
              <w:rPr>
                <w:rFonts w:ascii="Arial" w:cs="Arial" w:eastAsia="Arial" w:hAnsi="Arial"/>
                <w:sz w:val="17"/>
                <w:szCs w:val="17"/>
                <w:color w:val="auto"/>
              </w:rPr>
              <w:t>Severability</w:t>
            </w:r>
          </w:p>
        </w:tc>
        <w:tc>
          <w:tcPr>
            <w:tcW w:w="206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411"/>
        </w:trPr>
        <w:tc>
          <w:tcPr>
            <w:tcW w:w="9180" w:type="dxa"/>
            <w:vAlign w:val="bottom"/>
            <w:gridSpan w:val="2"/>
          </w:tcPr>
          <w:p>
            <w:pPr>
              <w:spacing w:after="0"/>
              <w:rPr>
                <w:sz w:val="20"/>
                <w:szCs w:val="20"/>
                <w:color w:val="auto"/>
              </w:rPr>
            </w:pPr>
            <w:r>
              <w:rPr>
                <w:rFonts w:ascii="Arial" w:cs="Arial" w:eastAsia="Arial" w:hAnsi="Arial"/>
                <w:sz w:val="17"/>
                <w:szCs w:val="17"/>
                <w:color w:val="auto"/>
              </w:rPr>
              <w:t>ARTICLE 12   REDEMPTION OF SECURITIES AND SINKING FUNDS</w:t>
            </w:r>
          </w:p>
        </w:tc>
        <w:tc>
          <w:tcPr>
            <w:tcW w:w="206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198"/>
        </w:trPr>
        <w:tc>
          <w:tcPr>
            <w:tcW w:w="1460" w:type="dxa"/>
            <w:vAlign w:val="bottom"/>
          </w:tcPr>
          <w:p>
            <w:pPr>
              <w:ind w:left="300"/>
              <w:spacing w:after="0"/>
              <w:rPr>
                <w:sz w:val="20"/>
                <w:szCs w:val="20"/>
                <w:color w:val="auto"/>
              </w:rPr>
            </w:pPr>
            <w:r>
              <w:rPr>
                <w:rFonts w:ascii="Arial" w:cs="Arial" w:eastAsia="Arial" w:hAnsi="Arial"/>
                <w:sz w:val="17"/>
                <w:szCs w:val="17"/>
                <w:color w:val="auto"/>
              </w:rPr>
              <w:t>Section 12.01</w:t>
            </w:r>
          </w:p>
        </w:tc>
        <w:tc>
          <w:tcPr>
            <w:tcW w:w="7720" w:type="dxa"/>
            <w:vAlign w:val="bottom"/>
          </w:tcPr>
          <w:p>
            <w:pPr>
              <w:ind w:left="240"/>
              <w:spacing w:after="0"/>
              <w:rPr>
                <w:sz w:val="20"/>
                <w:szCs w:val="20"/>
                <w:color w:val="auto"/>
              </w:rPr>
            </w:pPr>
            <w:r>
              <w:rPr>
                <w:rFonts w:ascii="Arial" w:cs="Arial" w:eastAsia="Arial" w:hAnsi="Arial"/>
                <w:sz w:val="17"/>
                <w:szCs w:val="17"/>
                <w:color w:val="auto"/>
              </w:rPr>
              <w:t>Applicability of Article</w:t>
            </w:r>
          </w:p>
        </w:tc>
        <w:tc>
          <w:tcPr>
            <w:tcW w:w="206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198"/>
        </w:trPr>
        <w:tc>
          <w:tcPr>
            <w:tcW w:w="1460" w:type="dxa"/>
            <w:vAlign w:val="bottom"/>
          </w:tcPr>
          <w:p>
            <w:pPr>
              <w:ind w:left="300"/>
              <w:spacing w:after="0"/>
              <w:rPr>
                <w:sz w:val="20"/>
                <w:szCs w:val="20"/>
                <w:color w:val="auto"/>
              </w:rPr>
            </w:pPr>
            <w:r>
              <w:rPr>
                <w:rFonts w:ascii="Arial" w:cs="Arial" w:eastAsia="Arial" w:hAnsi="Arial"/>
                <w:sz w:val="17"/>
                <w:szCs w:val="17"/>
                <w:color w:val="auto"/>
              </w:rPr>
              <w:t>Section 12.02</w:t>
            </w:r>
          </w:p>
        </w:tc>
        <w:tc>
          <w:tcPr>
            <w:tcW w:w="7720" w:type="dxa"/>
            <w:vAlign w:val="bottom"/>
          </w:tcPr>
          <w:p>
            <w:pPr>
              <w:ind w:left="240"/>
              <w:spacing w:after="0"/>
              <w:rPr>
                <w:sz w:val="20"/>
                <w:szCs w:val="20"/>
                <w:color w:val="auto"/>
              </w:rPr>
            </w:pPr>
            <w:r>
              <w:rPr>
                <w:rFonts w:ascii="Arial" w:cs="Arial" w:eastAsia="Arial" w:hAnsi="Arial"/>
                <w:sz w:val="17"/>
                <w:szCs w:val="17"/>
                <w:color w:val="auto"/>
              </w:rPr>
              <w:t>Notice of Redemption; Partial Redemptions</w:t>
            </w:r>
          </w:p>
        </w:tc>
        <w:tc>
          <w:tcPr>
            <w:tcW w:w="206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198"/>
        </w:trPr>
        <w:tc>
          <w:tcPr>
            <w:tcW w:w="1460" w:type="dxa"/>
            <w:vAlign w:val="bottom"/>
          </w:tcPr>
          <w:p>
            <w:pPr>
              <w:ind w:left="300"/>
              <w:spacing w:after="0"/>
              <w:rPr>
                <w:sz w:val="20"/>
                <w:szCs w:val="20"/>
                <w:color w:val="auto"/>
              </w:rPr>
            </w:pPr>
            <w:r>
              <w:rPr>
                <w:rFonts w:ascii="Arial" w:cs="Arial" w:eastAsia="Arial" w:hAnsi="Arial"/>
                <w:sz w:val="17"/>
                <w:szCs w:val="17"/>
                <w:color w:val="auto"/>
              </w:rPr>
              <w:t>Section 12.03</w:t>
            </w:r>
          </w:p>
        </w:tc>
        <w:tc>
          <w:tcPr>
            <w:tcW w:w="7720" w:type="dxa"/>
            <w:vAlign w:val="bottom"/>
          </w:tcPr>
          <w:p>
            <w:pPr>
              <w:ind w:left="240"/>
              <w:spacing w:after="0"/>
              <w:rPr>
                <w:sz w:val="20"/>
                <w:szCs w:val="20"/>
                <w:color w:val="auto"/>
              </w:rPr>
            </w:pPr>
            <w:r>
              <w:rPr>
                <w:rFonts w:ascii="Arial" w:cs="Arial" w:eastAsia="Arial" w:hAnsi="Arial"/>
                <w:sz w:val="17"/>
                <w:szCs w:val="17"/>
                <w:color w:val="auto"/>
              </w:rPr>
              <w:t>Payment of Securities Called for Redemption</w:t>
            </w:r>
          </w:p>
        </w:tc>
        <w:tc>
          <w:tcPr>
            <w:tcW w:w="206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198"/>
        </w:trPr>
        <w:tc>
          <w:tcPr>
            <w:tcW w:w="1460" w:type="dxa"/>
            <w:vAlign w:val="bottom"/>
          </w:tcPr>
          <w:p>
            <w:pPr>
              <w:ind w:left="300"/>
              <w:spacing w:after="0"/>
              <w:rPr>
                <w:sz w:val="20"/>
                <w:szCs w:val="20"/>
                <w:color w:val="auto"/>
              </w:rPr>
            </w:pPr>
            <w:r>
              <w:rPr>
                <w:rFonts w:ascii="Arial" w:cs="Arial" w:eastAsia="Arial" w:hAnsi="Arial"/>
                <w:sz w:val="17"/>
                <w:szCs w:val="17"/>
                <w:color w:val="auto"/>
              </w:rPr>
              <w:t>Section 12.04</w:t>
            </w:r>
          </w:p>
        </w:tc>
        <w:tc>
          <w:tcPr>
            <w:tcW w:w="7720" w:type="dxa"/>
            <w:vAlign w:val="bottom"/>
          </w:tcPr>
          <w:p>
            <w:pPr>
              <w:ind w:left="240"/>
              <w:spacing w:after="0"/>
              <w:rPr>
                <w:sz w:val="20"/>
                <w:szCs w:val="20"/>
                <w:color w:val="auto"/>
              </w:rPr>
            </w:pPr>
            <w:r>
              <w:rPr>
                <w:rFonts w:ascii="Arial" w:cs="Arial" w:eastAsia="Arial" w:hAnsi="Arial"/>
                <w:sz w:val="17"/>
                <w:szCs w:val="17"/>
                <w:color w:val="auto"/>
              </w:rPr>
              <w:t>Exclusion of Certain Securities from Eligibility for Selection for Redemption</w:t>
            </w:r>
          </w:p>
        </w:tc>
        <w:tc>
          <w:tcPr>
            <w:tcW w:w="206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09"/>
        </w:trPr>
        <w:tc>
          <w:tcPr>
            <w:tcW w:w="1460" w:type="dxa"/>
            <w:vAlign w:val="bottom"/>
          </w:tcPr>
          <w:p>
            <w:pPr>
              <w:ind w:left="300"/>
              <w:spacing w:after="0"/>
              <w:rPr>
                <w:sz w:val="20"/>
                <w:szCs w:val="20"/>
                <w:color w:val="auto"/>
              </w:rPr>
            </w:pPr>
            <w:r>
              <w:rPr>
                <w:rFonts w:ascii="Arial" w:cs="Arial" w:eastAsia="Arial" w:hAnsi="Arial"/>
                <w:sz w:val="17"/>
                <w:szCs w:val="17"/>
                <w:color w:val="auto"/>
              </w:rPr>
              <w:t>Section 12.05</w:t>
            </w:r>
          </w:p>
        </w:tc>
        <w:tc>
          <w:tcPr>
            <w:tcW w:w="7720" w:type="dxa"/>
            <w:vAlign w:val="bottom"/>
          </w:tcPr>
          <w:p>
            <w:pPr>
              <w:ind w:left="240"/>
              <w:spacing w:after="0"/>
              <w:rPr>
                <w:sz w:val="20"/>
                <w:szCs w:val="20"/>
                <w:color w:val="auto"/>
              </w:rPr>
            </w:pPr>
            <w:r>
              <w:rPr>
                <w:rFonts w:ascii="Arial" w:cs="Arial" w:eastAsia="Arial" w:hAnsi="Arial"/>
                <w:sz w:val="17"/>
                <w:szCs w:val="17"/>
                <w:color w:val="auto"/>
              </w:rPr>
              <w:t>Mandatory and Optional Sinking Funds</w:t>
            </w:r>
          </w:p>
        </w:tc>
        <w:tc>
          <w:tcPr>
            <w:tcW w:w="206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411"/>
        </w:trPr>
        <w:tc>
          <w:tcPr>
            <w:tcW w:w="9180" w:type="dxa"/>
            <w:vAlign w:val="bottom"/>
            <w:gridSpan w:val="2"/>
          </w:tcPr>
          <w:p>
            <w:pPr>
              <w:spacing w:after="0"/>
              <w:rPr>
                <w:sz w:val="20"/>
                <w:szCs w:val="20"/>
                <w:color w:val="auto"/>
              </w:rPr>
            </w:pPr>
            <w:r>
              <w:rPr>
                <w:rFonts w:ascii="Arial" w:cs="Arial" w:eastAsia="Arial" w:hAnsi="Arial"/>
                <w:sz w:val="17"/>
                <w:szCs w:val="17"/>
                <w:color w:val="auto"/>
              </w:rPr>
              <w:t>ARTICLE 13   SUBORDINATION OF SECURITIES</w:t>
            </w:r>
          </w:p>
        </w:tc>
        <w:tc>
          <w:tcPr>
            <w:tcW w:w="206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198"/>
        </w:trPr>
        <w:tc>
          <w:tcPr>
            <w:tcW w:w="1460" w:type="dxa"/>
            <w:vAlign w:val="bottom"/>
          </w:tcPr>
          <w:p>
            <w:pPr>
              <w:ind w:left="300"/>
              <w:spacing w:after="0"/>
              <w:rPr>
                <w:sz w:val="20"/>
                <w:szCs w:val="20"/>
                <w:color w:val="auto"/>
              </w:rPr>
            </w:pPr>
            <w:r>
              <w:rPr>
                <w:rFonts w:ascii="Arial" w:cs="Arial" w:eastAsia="Arial" w:hAnsi="Arial"/>
                <w:sz w:val="17"/>
                <w:szCs w:val="17"/>
                <w:color w:val="auto"/>
              </w:rPr>
              <w:t>Section 13.01</w:t>
            </w:r>
          </w:p>
        </w:tc>
        <w:tc>
          <w:tcPr>
            <w:tcW w:w="7720" w:type="dxa"/>
            <w:vAlign w:val="bottom"/>
          </w:tcPr>
          <w:p>
            <w:pPr>
              <w:ind w:left="240"/>
              <w:spacing w:after="0"/>
              <w:rPr>
                <w:sz w:val="20"/>
                <w:szCs w:val="20"/>
                <w:color w:val="auto"/>
              </w:rPr>
            </w:pPr>
            <w:r>
              <w:rPr>
                <w:rFonts w:ascii="Arial" w:cs="Arial" w:eastAsia="Arial" w:hAnsi="Arial"/>
                <w:sz w:val="17"/>
                <w:szCs w:val="17"/>
                <w:color w:val="auto"/>
              </w:rPr>
              <w:t>Agreement of Subordination</w:t>
            </w:r>
          </w:p>
        </w:tc>
        <w:tc>
          <w:tcPr>
            <w:tcW w:w="206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198"/>
        </w:trPr>
        <w:tc>
          <w:tcPr>
            <w:tcW w:w="1460" w:type="dxa"/>
            <w:vAlign w:val="bottom"/>
          </w:tcPr>
          <w:p>
            <w:pPr>
              <w:ind w:left="300"/>
              <w:spacing w:after="0"/>
              <w:rPr>
                <w:sz w:val="20"/>
                <w:szCs w:val="20"/>
                <w:color w:val="auto"/>
              </w:rPr>
            </w:pPr>
            <w:r>
              <w:rPr>
                <w:rFonts w:ascii="Arial" w:cs="Arial" w:eastAsia="Arial" w:hAnsi="Arial"/>
                <w:sz w:val="17"/>
                <w:szCs w:val="17"/>
                <w:color w:val="auto"/>
              </w:rPr>
              <w:t>Section 13.02</w:t>
            </w:r>
          </w:p>
        </w:tc>
        <w:tc>
          <w:tcPr>
            <w:tcW w:w="7720" w:type="dxa"/>
            <w:vAlign w:val="bottom"/>
          </w:tcPr>
          <w:p>
            <w:pPr>
              <w:ind w:left="240"/>
              <w:spacing w:after="0"/>
              <w:rPr>
                <w:sz w:val="20"/>
                <w:szCs w:val="20"/>
                <w:color w:val="auto"/>
              </w:rPr>
            </w:pPr>
            <w:r>
              <w:rPr>
                <w:rFonts w:ascii="Arial" w:cs="Arial" w:eastAsia="Arial" w:hAnsi="Arial"/>
                <w:sz w:val="17"/>
                <w:szCs w:val="17"/>
                <w:color w:val="auto"/>
              </w:rPr>
              <w:t>Payments to Securityholders</w:t>
            </w:r>
          </w:p>
        </w:tc>
        <w:tc>
          <w:tcPr>
            <w:tcW w:w="206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198"/>
        </w:trPr>
        <w:tc>
          <w:tcPr>
            <w:tcW w:w="1460" w:type="dxa"/>
            <w:vAlign w:val="bottom"/>
          </w:tcPr>
          <w:p>
            <w:pPr>
              <w:ind w:left="300"/>
              <w:spacing w:after="0"/>
              <w:rPr>
                <w:sz w:val="20"/>
                <w:szCs w:val="20"/>
                <w:color w:val="auto"/>
              </w:rPr>
            </w:pPr>
            <w:r>
              <w:rPr>
                <w:rFonts w:ascii="Arial" w:cs="Arial" w:eastAsia="Arial" w:hAnsi="Arial"/>
                <w:sz w:val="17"/>
                <w:szCs w:val="17"/>
                <w:color w:val="auto"/>
              </w:rPr>
              <w:t>Section 13.03</w:t>
            </w:r>
          </w:p>
        </w:tc>
        <w:tc>
          <w:tcPr>
            <w:tcW w:w="7720" w:type="dxa"/>
            <w:vAlign w:val="bottom"/>
          </w:tcPr>
          <w:p>
            <w:pPr>
              <w:ind w:left="240"/>
              <w:spacing w:after="0"/>
              <w:rPr>
                <w:sz w:val="20"/>
                <w:szCs w:val="20"/>
                <w:color w:val="auto"/>
              </w:rPr>
            </w:pPr>
            <w:r>
              <w:rPr>
                <w:rFonts w:ascii="Arial" w:cs="Arial" w:eastAsia="Arial" w:hAnsi="Arial"/>
                <w:sz w:val="17"/>
                <w:szCs w:val="17"/>
                <w:color w:val="auto"/>
              </w:rPr>
              <w:t>Subrogation of Securities</w:t>
            </w:r>
          </w:p>
        </w:tc>
        <w:tc>
          <w:tcPr>
            <w:tcW w:w="206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198"/>
        </w:trPr>
        <w:tc>
          <w:tcPr>
            <w:tcW w:w="1460" w:type="dxa"/>
            <w:vAlign w:val="bottom"/>
          </w:tcPr>
          <w:p>
            <w:pPr>
              <w:ind w:left="300"/>
              <w:spacing w:after="0"/>
              <w:rPr>
                <w:sz w:val="20"/>
                <w:szCs w:val="20"/>
                <w:color w:val="auto"/>
              </w:rPr>
            </w:pPr>
            <w:r>
              <w:rPr>
                <w:rFonts w:ascii="Arial" w:cs="Arial" w:eastAsia="Arial" w:hAnsi="Arial"/>
                <w:sz w:val="17"/>
                <w:szCs w:val="17"/>
                <w:color w:val="auto"/>
              </w:rPr>
              <w:t>Section 13.04</w:t>
            </w:r>
          </w:p>
        </w:tc>
        <w:tc>
          <w:tcPr>
            <w:tcW w:w="7720" w:type="dxa"/>
            <w:vAlign w:val="bottom"/>
          </w:tcPr>
          <w:p>
            <w:pPr>
              <w:ind w:left="240"/>
              <w:spacing w:after="0"/>
              <w:rPr>
                <w:sz w:val="20"/>
                <w:szCs w:val="20"/>
                <w:color w:val="auto"/>
              </w:rPr>
            </w:pPr>
            <w:r>
              <w:rPr>
                <w:rFonts w:ascii="Arial" w:cs="Arial" w:eastAsia="Arial" w:hAnsi="Arial"/>
                <w:sz w:val="17"/>
                <w:szCs w:val="17"/>
                <w:color w:val="auto"/>
              </w:rPr>
              <w:t>Authorization by Securityholders</w:t>
            </w:r>
          </w:p>
        </w:tc>
        <w:tc>
          <w:tcPr>
            <w:tcW w:w="206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198"/>
        </w:trPr>
        <w:tc>
          <w:tcPr>
            <w:tcW w:w="1460" w:type="dxa"/>
            <w:vAlign w:val="bottom"/>
          </w:tcPr>
          <w:p>
            <w:pPr>
              <w:ind w:left="300"/>
              <w:spacing w:after="0"/>
              <w:rPr>
                <w:sz w:val="20"/>
                <w:szCs w:val="20"/>
                <w:color w:val="auto"/>
              </w:rPr>
            </w:pPr>
            <w:r>
              <w:rPr>
                <w:rFonts w:ascii="Arial" w:cs="Arial" w:eastAsia="Arial" w:hAnsi="Arial"/>
                <w:sz w:val="17"/>
                <w:szCs w:val="17"/>
                <w:color w:val="auto"/>
              </w:rPr>
              <w:t>Section 13.05</w:t>
            </w:r>
          </w:p>
        </w:tc>
        <w:tc>
          <w:tcPr>
            <w:tcW w:w="7720" w:type="dxa"/>
            <w:vAlign w:val="bottom"/>
          </w:tcPr>
          <w:p>
            <w:pPr>
              <w:ind w:left="240"/>
              <w:spacing w:after="0"/>
              <w:rPr>
                <w:sz w:val="20"/>
                <w:szCs w:val="20"/>
                <w:color w:val="auto"/>
              </w:rPr>
            </w:pPr>
            <w:r>
              <w:rPr>
                <w:rFonts w:ascii="Arial" w:cs="Arial" w:eastAsia="Arial" w:hAnsi="Arial"/>
                <w:sz w:val="17"/>
                <w:szCs w:val="17"/>
                <w:color w:val="auto"/>
              </w:rPr>
              <w:t>Notice to Trustee</w:t>
            </w:r>
          </w:p>
        </w:tc>
        <w:tc>
          <w:tcPr>
            <w:tcW w:w="206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198"/>
        </w:trPr>
        <w:tc>
          <w:tcPr>
            <w:tcW w:w="1460" w:type="dxa"/>
            <w:vAlign w:val="bottom"/>
          </w:tcPr>
          <w:p>
            <w:pPr>
              <w:ind w:left="300"/>
              <w:spacing w:after="0"/>
              <w:rPr>
                <w:sz w:val="20"/>
                <w:szCs w:val="20"/>
                <w:color w:val="auto"/>
              </w:rPr>
            </w:pPr>
            <w:r>
              <w:rPr>
                <w:rFonts w:ascii="Arial" w:cs="Arial" w:eastAsia="Arial" w:hAnsi="Arial"/>
                <w:sz w:val="17"/>
                <w:szCs w:val="17"/>
                <w:color w:val="auto"/>
              </w:rPr>
              <w:t>Section 13.06</w:t>
            </w:r>
          </w:p>
        </w:tc>
        <w:tc>
          <w:tcPr>
            <w:tcW w:w="7720" w:type="dxa"/>
            <w:vAlign w:val="bottom"/>
          </w:tcPr>
          <w:p>
            <w:pPr>
              <w:ind w:left="240"/>
              <w:spacing w:after="0"/>
              <w:rPr>
                <w:sz w:val="20"/>
                <w:szCs w:val="20"/>
                <w:color w:val="auto"/>
              </w:rPr>
            </w:pPr>
            <w:r>
              <w:rPr>
                <w:rFonts w:ascii="Arial" w:cs="Arial" w:eastAsia="Arial" w:hAnsi="Arial"/>
                <w:sz w:val="17"/>
                <w:szCs w:val="17"/>
                <w:color w:val="auto"/>
              </w:rPr>
              <w:t>Trustee’s Relation to Senior Indebtedness</w:t>
            </w:r>
          </w:p>
        </w:tc>
        <w:tc>
          <w:tcPr>
            <w:tcW w:w="206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198"/>
        </w:trPr>
        <w:tc>
          <w:tcPr>
            <w:tcW w:w="1460" w:type="dxa"/>
            <w:vAlign w:val="bottom"/>
          </w:tcPr>
          <w:p>
            <w:pPr>
              <w:ind w:left="300"/>
              <w:spacing w:after="0"/>
              <w:rPr>
                <w:sz w:val="20"/>
                <w:szCs w:val="20"/>
                <w:color w:val="auto"/>
              </w:rPr>
            </w:pPr>
            <w:r>
              <w:rPr>
                <w:rFonts w:ascii="Arial" w:cs="Arial" w:eastAsia="Arial" w:hAnsi="Arial"/>
                <w:sz w:val="17"/>
                <w:szCs w:val="17"/>
                <w:color w:val="auto"/>
              </w:rPr>
              <w:t>Section 13.07</w:t>
            </w:r>
          </w:p>
        </w:tc>
        <w:tc>
          <w:tcPr>
            <w:tcW w:w="7720" w:type="dxa"/>
            <w:vAlign w:val="bottom"/>
          </w:tcPr>
          <w:p>
            <w:pPr>
              <w:ind w:left="240"/>
              <w:spacing w:after="0"/>
              <w:rPr>
                <w:sz w:val="20"/>
                <w:szCs w:val="20"/>
                <w:color w:val="auto"/>
              </w:rPr>
            </w:pPr>
            <w:r>
              <w:rPr>
                <w:rFonts w:ascii="Arial" w:cs="Arial" w:eastAsia="Arial" w:hAnsi="Arial"/>
                <w:sz w:val="17"/>
                <w:szCs w:val="17"/>
                <w:color w:val="auto"/>
              </w:rPr>
              <w:t>No Impairment of Subordination</w:t>
            </w:r>
          </w:p>
        </w:tc>
        <w:tc>
          <w:tcPr>
            <w:tcW w:w="206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09"/>
        </w:trPr>
        <w:tc>
          <w:tcPr>
            <w:tcW w:w="1460" w:type="dxa"/>
            <w:vAlign w:val="bottom"/>
          </w:tcPr>
          <w:p>
            <w:pPr>
              <w:ind w:left="300"/>
              <w:spacing w:after="0"/>
              <w:rPr>
                <w:sz w:val="20"/>
                <w:szCs w:val="20"/>
                <w:color w:val="auto"/>
              </w:rPr>
            </w:pPr>
            <w:r>
              <w:rPr>
                <w:rFonts w:ascii="Arial" w:cs="Arial" w:eastAsia="Arial" w:hAnsi="Arial"/>
                <w:sz w:val="17"/>
                <w:szCs w:val="17"/>
                <w:color w:val="auto"/>
              </w:rPr>
              <w:t>Section 13.08</w:t>
            </w:r>
          </w:p>
        </w:tc>
        <w:tc>
          <w:tcPr>
            <w:tcW w:w="7720" w:type="dxa"/>
            <w:vAlign w:val="bottom"/>
          </w:tcPr>
          <w:p>
            <w:pPr>
              <w:ind w:left="240"/>
              <w:spacing w:after="0"/>
              <w:rPr>
                <w:sz w:val="20"/>
                <w:szCs w:val="20"/>
                <w:color w:val="auto"/>
              </w:rPr>
            </w:pPr>
            <w:r>
              <w:rPr>
                <w:rFonts w:ascii="Arial" w:cs="Arial" w:eastAsia="Arial" w:hAnsi="Arial"/>
                <w:sz w:val="17"/>
                <w:szCs w:val="17"/>
                <w:color w:val="auto"/>
              </w:rPr>
              <w:t>Rights of Trustee</w:t>
            </w:r>
          </w:p>
        </w:tc>
        <w:tc>
          <w:tcPr>
            <w:tcW w:w="206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622"/>
        </w:trPr>
        <w:tc>
          <w:tcPr>
            <w:tcW w:w="146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6" w:right="339" w:bottom="1440" w:gutter="0" w:footer="0" w:header="0"/>
        </w:sectPr>
      </w:pPr>
    </w:p>
    <w:bookmarkStart w:id="107" w:name="page108"/>
    <w:bookmarkEnd w:id="107"/>
    <w:p>
      <w:pPr>
        <w:ind w:left="600"/>
        <w:spacing w:after="0"/>
        <w:rPr>
          <w:sz w:val="20"/>
          <w:szCs w:val="20"/>
          <w:color w:val="auto"/>
        </w:rPr>
      </w:pPr>
      <w:r>
        <w:rPr>
          <w:rFonts w:ascii="Arial" w:cs="Arial" w:eastAsia="Arial" w:hAnsi="Arial"/>
          <w:sz w:val="15"/>
          <w:szCs w:val="15"/>
          <w:color w:val="auto"/>
        </w:rPr>
        <w:t>THIS INDENTURE, dated as of _________between IVERIC bio, Inc., a Delaware corporation (the “</w:t>
      </w:r>
      <w:r>
        <w:rPr>
          <w:rFonts w:ascii="Arial" w:cs="Arial" w:eastAsia="Arial" w:hAnsi="Arial"/>
          <w:sz w:val="15"/>
          <w:szCs w:val="15"/>
          <w:b w:val="1"/>
          <w:bCs w:val="1"/>
          <w:color w:val="auto"/>
        </w:rPr>
        <w:t>Issuer</w:t>
      </w:r>
      <w:r>
        <w:rPr>
          <w:rFonts w:ascii="Arial" w:cs="Arial" w:eastAsia="Arial" w:hAnsi="Arial"/>
          <w:sz w:val="15"/>
          <w:szCs w:val="15"/>
          <w:color w:val="auto"/>
        </w:rPr>
        <w:t>”), and ________, a _______ (the “</w:t>
      </w:r>
      <w:r>
        <w:rPr>
          <w:rFonts w:ascii="Arial" w:cs="Arial" w:eastAsia="Arial" w:hAnsi="Arial"/>
          <w:sz w:val="15"/>
          <w:szCs w:val="15"/>
          <w:b w:val="1"/>
          <w:bCs w:val="1"/>
          <w:color w:val="auto"/>
        </w:rPr>
        <w:t>Trustee</w:t>
      </w:r>
      <w:r>
        <w:rPr>
          <w:rFonts w:ascii="Arial" w:cs="Arial" w:eastAsia="Arial" w:hAnsi="Arial"/>
          <w:sz w:val="15"/>
          <w:szCs w:val="15"/>
          <w:color w:val="auto"/>
        </w:rPr>
        <w: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 I T N E S S E T H:</w:t>
      </w:r>
    </w:p>
    <w:p>
      <w:pPr>
        <w:spacing w:after="0" w:line="201" w:lineRule="exact"/>
        <w:rPr>
          <w:sz w:val="20"/>
          <w:szCs w:val="20"/>
          <w:color w:val="auto"/>
        </w:rPr>
      </w:pPr>
    </w:p>
    <w:p>
      <w:pPr>
        <w:ind w:right="120" w:firstLine="595"/>
        <w:spacing w:after="0" w:line="252" w:lineRule="auto"/>
        <w:rPr>
          <w:sz w:val="20"/>
          <w:szCs w:val="20"/>
          <w:color w:val="auto"/>
        </w:rPr>
      </w:pPr>
      <w:r>
        <w:rPr>
          <w:rFonts w:ascii="Arial" w:cs="Arial" w:eastAsia="Arial" w:hAnsi="Arial"/>
          <w:sz w:val="17"/>
          <w:szCs w:val="17"/>
          <w:color w:val="auto"/>
        </w:rPr>
        <w:t>WHEREAS, the Issuer may from time to time duly authorize the issue of its unsecured subordinated debentures, notes or other evidences of indebtedness to be issued in one or more series (the “</w:t>
      </w:r>
      <w:r>
        <w:rPr>
          <w:rFonts w:ascii="Arial" w:cs="Arial" w:eastAsia="Arial" w:hAnsi="Arial"/>
          <w:sz w:val="17"/>
          <w:szCs w:val="17"/>
          <w:b w:val="1"/>
          <w:bCs w:val="1"/>
          <w:color w:val="auto"/>
        </w:rPr>
        <w:t>Securities</w:t>
      </w:r>
      <w:r>
        <w:rPr>
          <w:rFonts w:ascii="Arial" w:cs="Arial" w:eastAsia="Arial" w:hAnsi="Arial"/>
          <w:sz w:val="17"/>
          <w:szCs w:val="17"/>
          <w:color w:val="auto"/>
        </w:rPr>
        <w:t>”) up to such principal amount or amounts as may from time to time be authorized in accordance with the terms of this Indenture;</w:t>
      </w:r>
    </w:p>
    <w:p>
      <w:pPr>
        <w:spacing w:after="0" w:line="178" w:lineRule="exact"/>
        <w:rPr>
          <w:sz w:val="20"/>
          <w:szCs w:val="20"/>
          <w:color w:val="auto"/>
        </w:rPr>
      </w:pPr>
    </w:p>
    <w:p>
      <w:pPr>
        <w:ind w:right="380" w:firstLine="595"/>
        <w:spacing w:after="0" w:line="260" w:lineRule="auto"/>
        <w:rPr>
          <w:sz w:val="20"/>
          <w:szCs w:val="20"/>
          <w:color w:val="auto"/>
        </w:rPr>
      </w:pPr>
      <w:r>
        <w:rPr>
          <w:rFonts w:ascii="Arial" w:cs="Arial" w:eastAsia="Arial" w:hAnsi="Arial"/>
          <w:sz w:val="17"/>
          <w:szCs w:val="17"/>
          <w:color w:val="auto"/>
        </w:rPr>
        <w:t>WHEREAS, the Issuer has duly authorized the execution and delivery of this Indenture to provide, among other things, for the authentication, delivery and administration of the Securities; and</w:t>
      </w:r>
    </w:p>
    <w:p>
      <w:pPr>
        <w:spacing w:after="0" w:line="17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WHEREAS, all things necessary to make this Indenture a valid indenture and agreement according to its terms have been done;</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NOW, THEREFORE:</w:t>
      </w:r>
    </w:p>
    <w:p>
      <w:pPr>
        <w:spacing w:after="0" w:line="201" w:lineRule="exact"/>
        <w:rPr>
          <w:sz w:val="20"/>
          <w:szCs w:val="20"/>
          <w:color w:val="auto"/>
        </w:rPr>
      </w:pPr>
    </w:p>
    <w:p>
      <w:pPr>
        <w:ind w:right="100" w:firstLine="595"/>
        <w:spacing w:after="0" w:line="260" w:lineRule="auto"/>
        <w:rPr>
          <w:sz w:val="20"/>
          <w:szCs w:val="20"/>
          <w:color w:val="auto"/>
        </w:rPr>
      </w:pPr>
      <w:r>
        <w:rPr>
          <w:rFonts w:ascii="Arial" w:cs="Arial" w:eastAsia="Arial" w:hAnsi="Arial"/>
          <w:sz w:val="17"/>
          <w:szCs w:val="17"/>
          <w:color w:val="auto"/>
        </w:rPr>
        <w:t>In consideration of the premises and the purchases of the Securities by the holders thereof, the Issuer and the Trustee mutually covenant and agree for the equal and proportionate benefit of the respective holders from time to time of the Securities as follows: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DEFINITIONS</w:t>
      </w:r>
    </w:p>
    <w:p>
      <w:pPr>
        <w:spacing w:after="0" w:line="191" w:lineRule="exact"/>
        <w:rPr>
          <w:sz w:val="20"/>
          <w:szCs w:val="20"/>
          <w:color w:val="auto"/>
        </w:rPr>
      </w:pPr>
    </w:p>
    <w:p>
      <w:pPr>
        <w:ind w:firstLine="595"/>
        <w:spacing w:after="0" w:line="282" w:lineRule="auto"/>
        <w:rPr>
          <w:sz w:val="20"/>
          <w:szCs w:val="20"/>
          <w:color w:val="auto"/>
        </w:rPr>
      </w:pPr>
      <w:r>
        <w:rPr>
          <w:rFonts w:ascii="Arial" w:cs="Arial" w:eastAsia="Arial" w:hAnsi="Arial"/>
          <w:sz w:val="15"/>
          <w:szCs w:val="15"/>
          <w:color w:val="auto"/>
        </w:rPr>
        <w:t xml:space="preserve">Section 1.01 </w:t>
      </w:r>
      <w:r>
        <w:rPr>
          <w:rFonts w:ascii="Arial" w:cs="Arial" w:eastAsia="Arial" w:hAnsi="Arial"/>
          <w:sz w:val="15"/>
          <w:szCs w:val="15"/>
          <w:i w:val="1"/>
          <w:iCs w:val="1"/>
          <w:color w:val="auto"/>
        </w:rPr>
        <w:t>Certain Terms Defined.</w:t>
      </w:r>
      <w:r>
        <w:rPr>
          <w:rFonts w:ascii="Arial" w:cs="Arial" w:eastAsia="Arial" w:hAnsi="Arial"/>
          <w:sz w:val="15"/>
          <w:szCs w:val="15"/>
          <w:color w:val="auto"/>
        </w:rPr>
        <w:t xml:space="preserve"> The following terms (except as otherwise expressly provided or unless the context otherwise clearly requires) for all purposes of this Indenture and of any indenture supplemental hereto shall have the respective meanings specified in this Section. All other terms used in this Indenture that are defined in the Trust Indenture Act of 1939 or the definitions of which in the Securities Act of 1933, as amended are referred to in the Trust Indenture Act of 1939, including terms defined therein by reference to the Securities Act of 1933, as amended (except as herein otherwise expressly provided or unless the context otherwise clearly requires), shall have the meanings assigned to such terms in said Trust Indenture Act and in said Securities Act of 1933 as in force at the date of this Indenture. All accounting terms used herein and not expressly defined shall have the meanings assigned to such terms in accordance with generally accepted accounting principles, and the term “</w:t>
      </w:r>
      <w:r>
        <w:rPr>
          <w:rFonts w:ascii="Arial" w:cs="Arial" w:eastAsia="Arial" w:hAnsi="Arial"/>
          <w:sz w:val="15"/>
          <w:szCs w:val="15"/>
          <w:b w:val="1"/>
          <w:bCs w:val="1"/>
          <w:color w:val="auto"/>
        </w:rPr>
        <w:t>generally accepted accounting principles</w:t>
      </w:r>
      <w:r>
        <w:rPr>
          <w:rFonts w:ascii="Arial" w:cs="Arial" w:eastAsia="Arial" w:hAnsi="Arial"/>
          <w:sz w:val="15"/>
          <w:szCs w:val="15"/>
          <w:color w:val="auto"/>
        </w:rPr>
        <w:t>” means such accounting principles as are generally accepted in the United States at the time of any computation. The words “herein”, “hereof” and “hereunder” and other words of similar import refer to this Indenture as a whole and not to any particular Article, Section or other subdivision. The terms defined in this Article have the meanings assigned to them in this Article and include the plural as well as the singular.</w:t>
      </w:r>
    </w:p>
    <w:p>
      <w:pPr>
        <w:spacing w:after="0" w:line="156" w:lineRule="exact"/>
        <w:rPr>
          <w:sz w:val="20"/>
          <w:szCs w:val="20"/>
          <w:color w:val="auto"/>
        </w:rPr>
      </w:pPr>
    </w:p>
    <w:p>
      <w:pPr>
        <w:ind w:right="40" w:firstLine="595"/>
        <w:spacing w:after="0" w:line="373" w:lineRule="auto"/>
        <w:rPr>
          <w:sz w:val="20"/>
          <w:szCs w:val="20"/>
          <w:color w:val="auto"/>
        </w:rPr>
      </w:pPr>
      <w:r>
        <w:rPr>
          <w:rFonts w:ascii="Arial" w:cs="Arial" w:eastAsia="Arial" w:hAnsi="Arial"/>
          <w:sz w:val="14"/>
          <w:szCs w:val="14"/>
          <w:b w:val="1"/>
          <w:bCs w:val="1"/>
          <w:color w:val="auto"/>
        </w:rPr>
        <w:t xml:space="preserve">“Additional Amounts” </w:t>
      </w:r>
      <w:r>
        <w:rPr>
          <w:rFonts w:ascii="Arial" w:cs="Arial" w:eastAsia="Arial" w:hAnsi="Arial"/>
          <w:sz w:val="14"/>
          <w:szCs w:val="14"/>
          <w:color w:val="auto"/>
        </w:rPr>
        <w:t>means any additional amounts that are required by this Indenture or by any Security, under circumstances specified herein or therein, to</w:t>
      </w:r>
      <w:r>
        <w:rPr>
          <w:rFonts w:ascii="Arial" w:cs="Arial" w:eastAsia="Arial" w:hAnsi="Arial"/>
          <w:sz w:val="14"/>
          <w:szCs w:val="14"/>
          <w:b w:val="1"/>
          <w:bCs w:val="1"/>
          <w:color w:val="auto"/>
        </w:rPr>
        <w:t xml:space="preserve"> </w:t>
      </w:r>
      <w:r>
        <w:rPr>
          <w:rFonts w:ascii="Arial" w:cs="Arial" w:eastAsia="Arial" w:hAnsi="Arial"/>
          <w:sz w:val="14"/>
          <w:szCs w:val="14"/>
          <w:color w:val="auto"/>
        </w:rPr>
        <w:t>be paid by the Issuer in respect of certain taxes, assessments or other governmental charges imposed on Holders specified therein and which are owing to such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338455</wp:posOffset>
            </wp:positionV>
            <wp:extent cx="714375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0">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108" w:name="page109"/>
    <w:bookmarkEnd w:id="108"/>
    <w:p>
      <w:pPr>
        <w:ind w:right="420" w:firstLine="59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Procedures</w:t>
      </w:r>
      <w:r>
        <w:rPr>
          <w:rFonts w:ascii="Arial" w:cs="Arial" w:eastAsia="Arial" w:hAnsi="Arial"/>
          <w:sz w:val="17"/>
          <w:szCs w:val="17"/>
          <w:color w:val="auto"/>
        </w:rPr>
        <w:t>” means, with respect to a Depositary, as to any matter at any time, the policies and procedures of such Depositary, if any, that are applicable to such matter at such time.</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Board of Directors</w:t>
      </w:r>
      <w:r>
        <w:rPr>
          <w:rFonts w:ascii="Arial" w:cs="Arial" w:eastAsia="Arial" w:hAnsi="Arial"/>
          <w:sz w:val="17"/>
          <w:szCs w:val="17"/>
          <w:color w:val="auto"/>
        </w:rPr>
        <w:t>” means either the Board of Directors of the Issuer or any committee of such Board duly authorized to act on its behalf.</w:t>
      </w:r>
    </w:p>
    <w:p>
      <w:pPr>
        <w:spacing w:after="0" w:line="201" w:lineRule="exact"/>
        <w:rPr>
          <w:sz w:val="20"/>
          <w:szCs w:val="20"/>
          <w:color w:val="auto"/>
        </w:rPr>
      </w:pPr>
    </w:p>
    <w:p>
      <w:pPr>
        <w:ind w:right="120" w:firstLine="59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Board Resolution</w:t>
      </w:r>
      <w:r>
        <w:rPr>
          <w:rFonts w:ascii="Arial" w:cs="Arial" w:eastAsia="Arial" w:hAnsi="Arial"/>
          <w:sz w:val="17"/>
          <w:szCs w:val="17"/>
          <w:color w:val="auto"/>
        </w:rPr>
        <w:t>” means a copy of one or more resolutions, certified by the secretary or an assistant secretary of the Issuer to have been duly adopted by the Board of Directors and to be in full force and effect, and delivered to the Trustee.</w:t>
      </w:r>
    </w:p>
    <w:p>
      <w:pPr>
        <w:spacing w:after="0" w:line="164" w:lineRule="exact"/>
        <w:rPr>
          <w:sz w:val="20"/>
          <w:szCs w:val="20"/>
          <w:color w:val="auto"/>
        </w:rPr>
      </w:pPr>
    </w:p>
    <w:p>
      <w:pPr>
        <w:ind w:firstLine="59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means, with respect to any Security, a day that in the city (or in any of the cities, if more than one) in which amounts are payable, as specified in the form of such Security, is not a day on which banking institutions are authorized or required by law or regulation to close.</w:t>
      </w:r>
    </w:p>
    <w:p>
      <w:pPr>
        <w:spacing w:after="0" w:line="164" w:lineRule="exact"/>
        <w:rPr>
          <w:sz w:val="20"/>
          <w:szCs w:val="20"/>
          <w:color w:val="auto"/>
        </w:rPr>
      </w:pPr>
    </w:p>
    <w:p>
      <w:pPr>
        <w:ind w:right="120" w:firstLine="595"/>
        <w:spacing w:after="0" w:line="249" w:lineRule="auto"/>
        <w:rPr>
          <w:sz w:val="20"/>
          <w:szCs w:val="20"/>
          <w:color w:val="auto"/>
        </w:rPr>
      </w:pPr>
      <w:r>
        <w:rPr>
          <w:rFonts w:ascii="Arial" w:cs="Arial" w:eastAsia="Arial" w:hAnsi="Arial"/>
          <w:sz w:val="17"/>
          <w:szCs w:val="17"/>
          <w:b w:val="1"/>
          <w:bCs w:val="1"/>
          <w:color w:val="auto"/>
        </w:rPr>
        <w:t xml:space="preserve">“Capital Stock” </w:t>
      </w:r>
      <w:r>
        <w:rPr>
          <w:rFonts w:ascii="Arial" w:cs="Arial" w:eastAsia="Arial" w:hAnsi="Arial"/>
          <w:sz w:val="17"/>
          <w:szCs w:val="17"/>
          <w:color w:val="auto"/>
        </w:rPr>
        <w:t>means (a) in the case of a corporation, corporate stock; (b) in the case of an association or business entity, any and all shares, interests,</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77" w:lineRule="exact"/>
        <w:rPr>
          <w:sz w:val="20"/>
          <w:szCs w:val="20"/>
          <w:color w:val="auto"/>
        </w:rPr>
      </w:pPr>
    </w:p>
    <w:p>
      <w:pPr>
        <w:ind w:right="40" w:firstLine="595"/>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Commission</w:t>
      </w:r>
      <w:r>
        <w:rPr>
          <w:rFonts w:ascii="Arial" w:cs="Arial" w:eastAsia="Arial" w:hAnsi="Arial"/>
          <w:sz w:val="17"/>
          <w:szCs w:val="17"/>
          <w:color w:val="auto"/>
        </w:rPr>
        <w:t>” means the Securities and Exchange Commission, as from time to time constituted, created under the Securities Exchange Act of 1934, or if at any time after the execution and delivery of this Indenture such Commission is not existing and performing the duties now assigned to it under the Trust Indenture Act of 1939, then the body performing such duties on such date.</w:t>
      </w:r>
    </w:p>
    <w:p>
      <w:pPr>
        <w:spacing w:after="0" w:line="173" w:lineRule="exact"/>
        <w:rPr>
          <w:sz w:val="20"/>
          <w:szCs w:val="20"/>
          <w:color w:val="auto"/>
        </w:rPr>
      </w:pPr>
    </w:p>
    <w:p>
      <w:pPr>
        <w:ind w:right="440" w:firstLine="59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w:t>
      </w:r>
      <w:r>
        <w:rPr>
          <w:rFonts w:ascii="Arial" w:cs="Arial" w:eastAsia="Arial" w:hAnsi="Arial"/>
          <w:sz w:val="17"/>
          <w:szCs w:val="17"/>
          <w:color w:val="auto"/>
        </w:rPr>
        <w:t>” means shares of common stock, par value $0.001 per share, of the Issuer as the same exists at the date of execution and delivery of this Indenture or as such stock may be reconstituted from time to time.</w:t>
      </w:r>
    </w:p>
    <w:p>
      <w:pPr>
        <w:spacing w:after="0" w:line="164" w:lineRule="exact"/>
        <w:rPr>
          <w:sz w:val="20"/>
          <w:szCs w:val="20"/>
          <w:color w:val="auto"/>
        </w:rPr>
      </w:pPr>
    </w:p>
    <w:p>
      <w:pPr>
        <w:ind w:right="540" w:firstLine="59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Corporate Trust Office</w:t>
      </w:r>
      <w:r>
        <w:rPr>
          <w:rFonts w:ascii="Arial" w:cs="Arial" w:eastAsia="Arial" w:hAnsi="Arial"/>
          <w:sz w:val="17"/>
          <w:szCs w:val="17"/>
          <w:color w:val="auto"/>
        </w:rPr>
        <w:t>” means the office of the Trustee at which the corporate trust business of the Trustee shall, at any particular time, be principally administered, which office is, at the date as of which this Indenture is dated, located at __________.</w:t>
      </w:r>
    </w:p>
    <w:p>
      <w:pPr>
        <w:spacing w:after="0" w:line="164" w:lineRule="exact"/>
        <w:rPr>
          <w:sz w:val="20"/>
          <w:szCs w:val="20"/>
          <w:color w:val="auto"/>
        </w:rPr>
      </w:pPr>
    </w:p>
    <w:p>
      <w:pPr>
        <w:ind w:right="120" w:firstLine="595"/>
        <w:spacing w:after="0" w:line="28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Debt</w:t>
      </w:r>
      <w:r>
        <w:rPr>
          <w:rFonts w:ascii="Arial" w:cs="Arial" w:eastAsia="Arial" w:hAnsi="Arial"/>
          <w:sz w:val="15"/>
          <w:szCs w:val="15"/>
          <w:color w:val="auto"/>
        </w:rPr>
        <w:t>” of any Person means any debt for money borrowed which is created, assumed, incurred or guaranteed in any manner by such Person or for which such Person is otherwise responsible or liable, and shall expressly include any such guaranty thereof by such Person. For the purpose of computing the amount of the Debt of any Person there shall be excluded all Debt of such Person for the payment or redemption or satisfaction of which money or securities (or evidences of such Debt, if permitted under the terms of the instrument creating such Debt) in the necessary amount shall have been deposited in trust with the proper depositary, whether upon or prior to the maturity or the date fixed for redemption of such Debt; and, in any instance where Debt is so excluded, for the purpose of computing the assets of such Person there shall be excluded the money, securities or evidences of Debt deposited by such Person in trust for the purpose of paying or satisfying such Debt.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1">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109" w:name="page110"/>
    <w:bookmarkEnd w:id="109"/>
    <w:p>
      <w:pPr>
        <w:ind w:right="160" w:firstLine="595"/>
        <w:spacing w:after="0" w:line="29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Depositary</w:t>
      </w:r>
      <w:r>
        <w:rPr>
          <w:rFonts w:ascii="Arial" w:cs="Arial" w:eastAsia="Arial" w:hAnsi="Arial"/>
          <w:sz w:val="15"/>
          <w:szCs w:val="15"/>
          <w:color w:val="auto"/>
        </w:rPr>
        <w:t>” means, with respect to the Securities of any series issuable or issued in the form of one or more Global Securities, the Person designated as Depositary by the Issuer pursuant to Section 2.04 until a successor Depositary shall have become such pursuant to the applicable provisions of this Indenture, and thereafter “</w:t>
      </w:r>
      <w:r>
        <w:rPr>
          <w:rFonts w:ascii="Arial" w:cs="Arial" w:eastAsia="Arial" w:hAnsi="Arial"/>
          <w:sz w:val="15"/>
          <w:szCs w:val="15"/>
          <w:b w:val="1"/>
          <w:bCs w:val="1"/>
          <w:color w:val="auto"/>
        </w:rPr>
        <w:t>Depositary</w:t>
      </w:r>
      <w:r>
        <w:rPr>
          <w:rFonts w:ascii="Arial" w:cs="Arial" w:eastAsia="Arial" w:hAnsi="Arial"/>
          <w:sz w:val="15"/>
          <w:szCs w:val="15"/>
          <w:color w:val="auto"/>
        </w:rPr>
        <w:t>” shall mean or include each Person who is then a Depositary hereunder, and if at any time there is more than one such Person, “</w:t>
      </w:r>
      <w:r>
        <w:rPr>
          <w:rFonts w:ascii="Arial" w:cs="Arial" w:eastAsia="Arial" w:hAnsi="Arial"/>
          <w:sz w:val="15"/>
          <w:szCs w:val="15"/>
          <w:b w:val="1"/>
          <w:bCs w:val="1"/>
          <w:color w:val="auto"/>
        </w:rPr>
        <w:t>Depositary</w:t>
      </w:r>
      <w:r>
        <w:rPr>
          <w:rFonts w:ascii="Arial" w:cs="Arial" w:eastAsia="Arial" w:hAnsi="Arial"/>
          <w:sz w:val="15"/>
          <w:szCs w:val="15"/>
          <w:color w:val="auto"/>
        </w:rPr>
        <w:t>” as used with respect to the Securities of any such series shall mean the Depositary with respect to the Global Securities of that series.</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Dollar</w:t>
      </w:r>
      <w:r>
        <w:rPr>
          <w:rFonts w:ascii="Arial" w:cs="Arial" w:eastAsia="Arial" w:hAnsi="Arial"/>
          <w:sz w:val="15"/>
          <w:szCs w:val="15"/>
          <w:color w:val="auto"/>
        </w:rPr>
        <w:t>” means the currency of the United States of America as at the time of payment is legal tender for the payment of public and private debts.</w:t>
      </w:r>
    </w:p>
    <w:p>
      <w:pPr>
        <w:spacing w:after="0" w:line="22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Event of Default</w:t>
      </w:r>
      <w:r>
        <w:rPr>
          <w:rFonts w:ascii="Arial" w:cs="Arial" w:eastAsia="Arial" w:hAnsi="Arial"/>
          <w:sz w:val="17"/>
          <w:szCs w:val="17"/>
          <w:color w:val="auto"/>
        </w:rPr>
        <w:t>” means any event or condition specified as such in Section 5.01.</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Foreign Currency</w:t>
      </w:r>
      <w:r>
        <w:rPr>
          <w:rFonts w:ascii="Arial" w:cs="Arial" w:eastAsia="Arial" w:hAnsi="Arial"/>
          <w:sz w:val="17"/>
          <w:szCs w:val="17"/>
          <w:color w:val="auto"/>
        </w:rPr>
        <w:t>” means a currency issued by the government of a country other than the United States.</w:t>
      </w:r>
    </w:p>
    <w:p>
      <w:pPr>
        <w:spacing w:after="0" w:line="201" w:lineRule="exact"/>
        <w:rPr>
          <w:sz w:val="20"/>
          <w:szCs w:val="20"/>
          <w:color w:val="auto"/>
        </w:rPr>
      </w:pPr>
    </w:p>
    <w:p>
      <w:pPr>
        <w:ind w:firstLine="595"/>
        <w:spacing w:after="0" w:line="284" w:lineRule="auto"/>
        <w:rPr>
          <w:sz w:val="20"/>
          <w:szCs w:val="20"/>
          <w:color w:val="auto"/>
        </w:rPr>
      </w:pPr>
      <w:r>
        <w:rPr>
          <w:rFonts w:ascii="Arial" w:cs="Arial" w:eastAsia="Arial" w:hAnsi="Arial"/>
          <w:sz w:val="15"/>
          <w:szCs w:val="15"/>
          <w:b w:val="1"/>
          <w:bCs w:val="1"/>
          <w:color w:val="auto"/>
        </w:rPr>
        <w:t xml:space="preserve">“Foreign Government Obligation” </w:t>
      </w:r>
      <w:r>
        <w:rPr>
          <w:rFonts w:ascii="Arial" w:cs="Arial" w:eastAsia="Arial" w:hAnsi="Arial"/>
          <w:sz w:val="15"/>
          <w:szCs w:val="15"/>
          <w:color w:val="auto"/>
        </w:rPr>
        <w:t>means (a) a direct obligation of the government of a country other than the United States of America, backed by the full</w:t>
      </w:r>
      <w:r>
        <w:rPr>
          <w:rFonts w:ascii="Arial" w:cs="Arial" w:eastAsia="Arial" w:hAnsi="Arial"/>
          <w:sz w:val="15"/>
          <w:szCs w:val="15"/>
          <w:b w:val="1"/>
          <w:bCs w:val="1"/>
          <w:color w:val="auto"/>
        </w:rPr>
        <w:t xml:space="preserve"> </w:t>
      </w:r>
      <w:r>
        <w:rPr>
          <w:rFonts w:ascii="Arial" w:cs="Arial" w:eastAsia="Arial" w:hAnsi="Arial"/>
          <w:sz w:val="15"/>
          <w:szCs w:val="15"/>
          <w:color w:val="auto"/>
        </w:rPr>
        <w:t>faith and credit of such government, (b) an obligation of a Person controlled or supervised by and acting as an agency or instrumentality of such government, the payment of which is unconditionally guaranteed as a full faith and credit obligation by such government or (c) any depositary receipt issued by a bank (as defined in Section 3(a)(2) of the Securities Act of 1933) as custodian with respect to any Foreign Government Obligation which is specified in clause (a) and held by such bank for the account of the holder of such depositary receipt, or with respect to any specific payment of principal of or interest on any such Foreign Government Obligation which is so specified and held, provided that (except as required by law) such custodian is not authorized to make any deduction from the amount payable to the holder of such depositary receipt from any amount received by the custodian in respect of the Foreign Government Obligation or the specific payment of principal or interest evidenced by such depositary receipt.</w:t>
      </w:r>
    </w:p>
    <w:p>
      <w:pPr>
        <w:spacing w:after="0" w:line="153" w:lineRule="exact"/>
        <w:rPr>
          <w:sz w:val="20"/>
          <w:szCs w:val="20"/>
          <w:color w:val="auto"/>
        </w:rPr>
      </w:pPr>
    </w:p>
    <w:p>
      <w:pPr>
        <w:ind w:right="160" w:firstLine="59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Global Security</w:t>
      </w:r>
      <w:r>
        <w:rPr>
          <w:rFonts w:ascii="Arial" w:cs="Arial" w:eastAsia="Arial" w:hAnsi="Arial"/>
          <w:sz w:val="17"/>
          <w:szCs w:val="17"/>
          <w:color w:val="auto"/>
        </w:rPr>
        <w:t>” means a Security evidencing all or a part of a series of Securities, issued to the Depositary for such series in accordance with Section 2.04, and bearing the legend prescribed in Section 2.04.</w:t>
      </w:r>
    </w:p>
    <w:p>
      <w:pPr>
        <w:spacing w:after="0" w:line="164" w:lineRule="exact"/>
        <w:rPr>
          <w:sz w:val="20"/>
          <w:szCs w:val="20"/>
          <w:color w:val="auto"/>
        </w:rPr>
      </w:pPr>
    </w:p>
    <w:p>
      <w:pPr>
        <w:ind w:right="540" w:firstLine="59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Holder”, “holder”,</w:t>
      </w:r>
      <w:r>
        <w:rPr>
          <w:rFonts w:ascii="Arial" w:cs="Arial" w:eastAsia="Arial" w:hAnsi="Arial"/>
          <w:sz w:val="17"/>
          <w:szCs w:val="17"/>
          <w:color w:val="auto"/>
        </w:rPr>
        <w:t xml:space="preserve"> “</w:t>
      </w:r>
      <w:r>
        <w:rPr>
          <w:rFonts w:ascii="Arial" w:cs="Arial" w:eastAsia="Arial" w:hAnsi="Arial"/>
          <w:sz w:val="17"/>
          <w:szCs w:val="17"/>
          <w:b w:val="1"/>
          <w:bCs w:val="1"/>
          <w:color w:val="auto"/>
        </w:rPr>
        <w:t>holder of Securities</w:t>
      </w:r>
      <w:r>
        <w:rPr>
          <w:rFonts w:ascii="Arial" w:cs="Arial" w:eastAsia="Arial" w:hAnsi="Arial"/>
          <w:sz w:val="17"/>
          <w:szCs w:val="17"/>
          <w:color w:val="auto"/>
        </w:rPr>
        <w:t>”, “</w:t>
      </w:r>
      <w:r>
        <w:rPr>
          <w:rFonts w:ascii="Arial" w:cs="Arial" w:eastAsia="Arial" w:hAnsi="Arial"/>
          <w:sz w:val="17"/>
          <w:szCs w:val="17"/>
          <w:b w:val="1"/>
          <w:bCs w:val="1"/>
          <w:color w:val="auto"/>
        </w:rPr>
        <w:t>Securityholder</w:t>
      </w:r>
      <w:r>
        <w:rPr>
          <w:rFonts w:ascii="Arial" w:cs="Arial" w:eastAsia="Arial" w:hAnsi="Arial"/>
          <w:sz w:val="17"/>
          <w:szCs w:val="17"/>
          <w:color w:val="auto"/>
        </w:rPr>
        <w:t>” or other similar terms mean the Person in whose name such Security is registered in the Security register kept by the Issuer for that purpose in accordance with the terms hereof.</w:t>
      </w:r>
    </w:p>
    <w:p>
      <w:pPr>
        <w:spacing w:after="0" w:line="164" w:lineRule="exact"/>
        <w:rPr>
          <w:sz w:val="20"/>
          <w:szCs w:val="20"/>
          <w:color w:val="auto"/>
        </w:rPr>
      </w:pPr>
    </w:p>
    <w:p>
      <w:pPr>
        <w:ind w:right="80" w:firstLine="59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Indenture</w:t>
      </w:r>
      <w:r>
        <w:rPr>
          <w:rFonts w:ascii="Arial" w:cs="Arial" w:eastAsia="Arial" w:hAnsi="Arial"/>
          <w:sz w:val="17"/>
          <w:szCs w:val="17"/>
          <w:color w:val="auto"/>
        </w:rPr>
        <w:t>” means this instrument as originally executed and delivered or, if amended or supplemented as herein provided, as so amended or supplemented or both, and shall include the forms and terms of particular series of Securities established as contemplated hereunder.</w:t>
      </w:r>
    </w:p>
    <w:p>
      <w:pPr>
        <w:spacing w:after="0" w:line="164" w:lineRule="exact"/>
        <w:rPr>
          <w:sz w:val="20"/>
          <w:szCs w:val="20"/>
          <w:color w:val="auto"/>
        </w:rPr>
      </w:pPr>
    </w:p>
    <w:p>
      <w:pPr>
        <w:ind w:right="60" w:firstLine="59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w:t>
      </w:r>
      <w:r>
        <w:rPr>
          <w:rFonts w:ascii="Arial" w:cs="Arial" w:eastAsia="Arial" w:hAnsi="Arial"/>
          <w:sz w:val="17"/>
          <w:szCs w:val="17"/>
          <w:color w:val="auto"/>
        </w:rPr>
        <w:t>”, unless the context otherwise requires, refers to interest, and when used with respect to non-interest bearing Securities, refers to interest payable after maturity, if any.</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2">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00"/>
          </w:cols>
          <w:pgMar w:left="320" w:top="842" w:right="379" w:bottom="1440" w:gutter="0" w:footer="0" w:header="0"/>
        </w:sectPr>
      </w:pPr>
    </w:p>
    <w:bookmarkStart w:id="110" w:name="page111"/>
    <w:bookmarkEnd w:id="110"/>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Payment Date</w:t>
      </w:r>
      <w:r>
        <w:rPr>
          <w:rFonts w:ascii="Arial" w:cs="Arial" w:eastAsia="Arial" w:hAnsi="Arial"/>
          <w:sz w:val="17"/>
          <w:szCs w:val="17"/>
          <w:color w:val="auto"/>
        </w:rPr>
        <w:t>”, with respect to any Security, means the Stated Maturity of an installment of interest on such Security.</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Issuer</w:t>
      </w:r>
      <w:r>
        <w:rPr>
          <w:rFonts w:ascii="Arial" w:cs="Arial" w:eastAsia="Arial" w:hAnsi="Arial"/>
          <w:sz w:val="17"/>
          <w:szCs w:val="17"/>
          <w:color w:val="auto"/>
        </w:rPr>
        <w:t>” means IVERIC bio, Inc., a Delaware corporation, and, subject to Article 9, its successors and assigns.</w:t>
      </w:r>
    </w:p>
    <w:p>
      <w:pPr>
        <w:spacing w:after="0" w:line="201" w:lineRule="exact"/>
        <w:rPr>
          <w:sz w:val="20"/>
          <w:szCs w:val="20"/>
          <w:color w:val="auto"/>
        </w:rPr>
      </w:pPr>
    </w:p>
    <w:p>
      <w:pPr>
        <w:ind w:right="60" w:firstLine="59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Issuer Order</w:t>
      </w:r>
      <w:r>
        <w:rPr>
          <w:rFonts w:ascii="Arial" w:cs="Arial" w:eastAsia="Arial" w:hAnsi="Arial"/>
          <w:sz w:val="17"/>
          <w:szCs w:val="17"/>
          <w:color w:val="auto"/>
        </w:rPr>
        <w:t>” means a written statement, request or order of the Issuer signed in its name by the chairman of the Board of Directors, the president or any vice president of the Issuer.</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 xml:space="preserve">“Notice of Default” </w:t>
      </w:r>
      <w:r>
        <w:rPr>
          <w:rFonts w:ascii="Arial" w:cs="Arial" w:eastAsia="Arial" w:hAnsi="Arial"/>
          <w:sz w:val="17"/>
          <w:szCs w:val="17"/>
          <w:color w:val="auto"/>
        </w:rPr>
        <w:t>shall have the meaning set forth in Section 5.01(c).</w:t>
      </w:r>
    </w:p>
    <w:p>
      <w:pPr>
        <w:spacing w:after="0" w:line="201" w:lineRule="exact"/>
        <w:rPr>
          <w:sz w:val="20"/>
          <w:szCs w:val="20"/>
          <w:color w:val="auto"/>
        </w:rPr>
      </w:pPr>
    </w:p>
    <w:p>
      <w:pPr>
        <w:ind w:firstLine="595"/>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Officer’s Certificate</w:t>
      </w:r>
      <w:r>
        <w:rPr>
          <w:rFonts w:ascii="Arial" w:cs="Arial" w:eastAsia="Arial" w:hAnsi="Arial"/>
          <w:sz w:val="17"/>
          <w:szCs w:val="17"/>
          <w:color w:val="auto"/>
        </w:rPr>
        <w:t>” means a certificate signed by the chairman of the Board of Directors, the president, any vice president, the treasurer, the secretary or any assistant secretary of the Issuer and delivered to the Trustee. Each such certificate shall comply with Section 314 of the Trust Indenture Act of 1939 and, except to the extent provided herein, shall include the statements provided for in Section 11.05.</w:t>
      </w:r>
    </w:p>
    <w:p>
      <w:pPr>
        <w:spacing w:after="0" w:line="173" w:lineRule="exact"/>
        <w:rPr>
          <w:sz w:val="20"/>
          <w:szCs w:val="20"/>
          <w:color w:val="auto"/>
        </w:rPr>
      </w:pPr>
    </w:p>
    <w:p>
      <w:pPr>
        <w:ind w:right="100" w:firstLine="595"/>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Opinion of Counsel</w:t>
      </w:r>
      <w:r>
        <w:rPr>
          <w:rFonts w:ascii="Arial" w:cs="Arial" w:eastAsia="Arial" w:hAnsi="Arial"/>
          <w:sz w:val="17"/>
          <w:szCs w:val="17"/>
          <w:color w:val="auto"/>
        </w:rPr>
        <w:t>” means an opinion in writing signed by the general corporate counsel or such other legal counsel who may be an employee of or counsel to the Issuer and who shall be satisfactory to the Trustee. Each such opinion shall comply with Section 314 of the Trust Indenture Act of 1939 and shall include the statements provided for in Section 11.05, if and to the extent required hereby.</w:t>
      </w:r>
    </w:p>
    <w:p>
      <w:pPr>
        <w:spacing w:after="0" w:line="173" w:lineRule="exact"/>
        <w:rPr>
          <w:sz w:val="20"/>
          <w:szCs w:val="20"/>
          <w:color w:val="auto"/>
        </w:rPr>
      </w:pPr>
    </w:p>
    <w:p>
      <w:pPr>
        <w:ind w:firstLine="59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original issue date</w:t>
      </w:r>
      <w:r>
        <w:rPr>
          <w:rFonts w:ascii="Arial" w:cs="Arial" w:eastAsia="Arial" w:hAnsi="Arial"/>
          <w:sz w:val="17"/>
          <w:szCs w:val="17"/>
          <w:color w:val="auto"/>
        </w:rPr>
        <w:t>” of any Security (or portion thereof) means the earlier of (a) the date of such Security or (b) the date of any Security (or portion thereof) for which such Security was issued (directly or indirectly) on registration of transfer, exchange or substitution.</w:t>
      </w:r>
    </w:p>
    <w:p>
      <w:pPr>
        <w:spacing w:after="0" w:line="164" w:lineRule="exact"/>
        <w:rPr>
          <w:sz w:val="20"/>
          <w:szCs w:val="20"/>
          <w:color w:val="auto"/>
        </w:rPr>
      </w:pPr>
    </w:p>
    <w:p>
      <w:pPr>
        <w:ind w:right="480" w:firstLine="59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Original Issue Discount Security</w:t>
      </w:r>
      <w:r>
        <w:rPr>
          <w:rFonts w:ascii="Arial" w:cs="Arial" w:eastAsia="Arial" w:hAnsi="Arial"/>
          <w:sz w:val="17"/>
          <w:szCs w:val="17"/>
          <w:color w:val="auto"/>
        </w:rPr>
        <w:t>” means any Security that provides for an amount less than the principal amount thereof to be due and payable upon a declaration of acceleration of the maturity thereof pursuant to Section 5.01.</w:t>
      </w:r>
    </w:p>
    <w:p>
      <w:pPr>
        <w:spacing w:after="0" w:line="164" w:lineRule="exact"/>
        <w:rPr>
          <w:sz w:val="20"/>
          <w:szCs w:val="20"/>
          <w:color w:val="auto"/>
        </w:rPr>
      </w:pPr>
    </w:p>
    <w:p>
      <w:pPr>
        <w:ind w:right="760" w:firstLine="59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Outstanding</w:t>
      </w:r>
      <w:r>
        <w:rPr>
          <w:rFonts w:ascii="Arial" w:cs="Arial" w:eastAsia="Arial" w:hAnsi="Arial"/>
          <w:sz w:val="17"/>
          <w:szCs w:val="17"/>
          <w:color w:val="auto"/>
        </w:rPr>
        <w:t>”, when used with reference to Securities, shall, subject to the provisions of Section 7.04, mean, as of any particular time, all Securities authenticated and delivered by the Trustee under this Indenture, except</w:t>
      </w:r>
    </w:p>
    <w:p>
      <w:pPr>
        <w:spacing w:after="0" w:line="168" w:lineRule="exact"/>
        <w:rPr>
          <w:sz w:val="20"/>
          <w:szCs w:val="20"/>
          <w:color w:val="auto"/>
        </w:rPr>
      </w:pPr>
    </w:p>
    <w:p>
      <w:pPr>
        <w:ind w:left="2000" w:hanging="810"/>
        <w:spacing w:after="0"/>
        <w:tabs>
          <w:tab w:leader="none" w:pos="20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Securities theretofore cancelled by the Trustee or delivered to the Trustee for cancellation;</w:t>
      </w:r>
    </w:p>
    <w:p>
      <w:pPr>
        <w:spacing w:after="0" w:line="201" w:lineRule="exact"/>
        <w:rPr>
          <w:rFonts w:ascii="Arial" w:cs="Arial" w:eastAsia="Arial" w:hAnsi="Arial"/>
          <w:sz w:val="17"/>
          <w:szCs w:val="17"/>
          <w:color w:val="auto"/>
        </w:rPr>
      </w:pPr>
    </w:p>
    <w:p>
      <w:pPr>
        <w:ind w:right="160" w:firstLine="1190"/>
        <w:spacing w:after="0" w:line="288" w:lineRule="auto"/>
        <w:tabs>
          <w:tab w:leader="none" w:pos="2003" w:val="left"/>
        </w:tabs>
        <w:numPr>
          <w:ilvl w:val="0"/>
          <w:numId w:val="73"/>
        </w:numPr>
        <w:rPr>
          <w:rFonts w:ascii="Arial" w:cs="Arial" w:eastAsia="Arial" w:hAnsi="Arial"/>
          <w:sz w:val="15"/>
          <w:szCs w:val="15"/>
          <w:color w:val="auto"/>
        </w:rPr>
      </w:pPr>
      <w:r>
        <w:rPr>
          <w:rFonts w:ascii="Arial" w:cs="Arial" w:eastAsia="Arial" w:hAnsi="Arial"/>
          <w:sz w:val="15"/>
          <w:szCs w:val="15"/>
          <w:color w:val="auto"/>
        </w:rPr>
        <w:t xml:space="preserve">Securities, or portions thereof, for the payment or redemption of which cash, U.S. Government Obligations or Foreign Government Obligations (as provided for in Section 10.01(a) and Section 10.01(b)) in the necessary amount shall have been deposited in trust with the Trustee or with any paying agent (other than the Issuer) or shall have been set aside, segregated and held in trust by the Issuer for the Holders of such Securities (if the Issuer shall act as its own paying agent); </w:t>
      </w:r>
      <w:r>
        <w:rPr>
          <w:rFonts w:ascii="Arial" w:cs="Arial" w:eastAsia="Arial" w:hAnsi="Arial"/>
          <w:sz w:val="15"/>
          <w:szCs w:val="15"/>
          <w:i w:val="1"/>
          <w:iCs w:val="1"/>
          <w:color w:val="auto"/>
        </w:rPr>
        <w:t>provided</w:t>
      </w:r>
      <w:r>
        <w:rPr>
          <w:rFonts w:ascii="Arial" w:cs="Arial" w:eastAsia="Arial" w:hAnsi="Arial"/>
          <w:sz w:val="15"/>
          <w:szCs w:val="15"/>
          <w:color w:val="auto"/>
        </w:rPr>
        <w:t>, that if such Securities, or portions thereof, are to be redeemed prior to the maturity thereof, notice of such redemption shall have been given as herein provided, or provision satisfactory to the Trustee shall have been made for giving such notice;</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3">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20"/>
          </w:cols>
          <w:pgMar w:left="320" w:top="842" w:right="359" w:bottom="1440" w:gutter="0" w:footer="0" w:header="0"/>
        </w:sectPr>
      </w:pPr>
    </w:p>
    <w:bookmarkStart w:id="111" w:name="page112"/>
    <w:bookmarkEnd w:id="111"/>
    <w:p>
      <w:pPr>
        <w:ind w:left="2000" w:hanging="810"/>
        <w:spacing w:after="0"/>
        <w:tabs>
          <w:tab w:leader="none" w:pos="20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Securities as to which Legal Defeasance shall have been effected pursuant to Section 10.01(b);</w:t>
      </w:r>
    </w:p>
    <w:p>
      <w:pPr>
        <w:spacing w:after="0" w:line="201" w:lineRule="exact"/>
        <w:rPr>
          <w:rFonts w:ascii="Arial" w:cs="Arial" w:eastAsia="Arial" w:hAnsi="Arial"/>
          <w:sz w:val="17"/>
          <w:szCs w:val="17"/>
          <w:color w:val="auto"/>
        </w:rPr>
      </w:pPr>
    </w:p>
    <w:p>
      <w:pPr>
        <w:ind w:right="20" w:firstLine="1190"/>
        <w:spacing w:after="0" w:line="249" w:lineRule="auto"/>
        <w:tabs>
          <w:tab w:leader="none" w:pos="2003" w:val="left"/>
        </w:tabs>
        <w:numPr>
          <w:ilvl w:val="0"/>
          <w:numId w:val="74"/>
        </w:numPr>
        <w:rPr>
          <w:rFonts w:ascii="Arial" w:cs="Arial" w:eastAsia="Arial" w:hAnsi="Arial"/>
          <w:sz w:val="17"/>
          <w:szCs w:val="17"/>
          <w:color w:val="auto"/>
        </w:rPr>
      </w:pPr>
      <w:r>
        <w:rPr>
          <w:rFonts w:ascii="Arial" w:cs="Arial" w:eastAsia="Arial" w:hAnsi="Arial"/>
          <w:sz w:val="17"/>
          <w:szCs w:val="17"/>
          <w:color w:val="auto"/>
        </w:rPr>
        <w:t>Securities in substitution for which other Securities shall have been authenticated and delivered, or which shall have been paid, pursuant to the terms of Section 2.09 (except with respect to any such Security as to which proof satisfactory to the Trustee is presented that such Security is held by a Person in whose hands such Security is a legal, valid and binding obligation of the Issuer), Securities converted into Common Stock pursuant hereto and Securities not deemed outstanding pursuant to Section 12.02; and</w:t>
      </w:r>
    </w:p>
    <w:p>
      <w:pPr>
        <w:spacing w:after="0" w:line="181" w:lineRule="exact"/>
        <w:rPr>
          <w:rFonts w:ascii="Arial" w:cs="Arial" w:eastAsia="Arial" w:hAnsi="Arial"/>
          <w:sz w:val="17"/>
          <w:szCs w:val="17"/>
          <w:color w:val="auto"/>
        </w:rPr>
      </w:pPr>
    </w:p>
    <w:p>
      <w:pPr>
        <w:ind w:right="100" w:firstLine="1190"/>
        <w:spacing w:after="0" w:line="327" w:lineRule="auto"/>
        <w:tabs>
          <w:tab w:leader="none" w:pos="1994" w:val="left"/>
        </w:tabs>
        <w:numPr>
          <w:ilvl w:val="0"/>
          <w:numId w:val="74"/>
        </w:numPr>
        <w:rPr>
          <w:rFonts w:ascii="Arial" w:cs="Arial" w:eastAsia="Arial" w:hAnsi="Arial"/>
          <w:sz w:val="15"/>
          <w:szCs w:val="15"/>
          <w:color w:val="auto"/>
        </w:rPr>
      </w:pPr>
      <w:r>
        <w:rPr>
          <w:rFonts w:ascii="Arial" w:cs="Arial" w:eastAsia="Arial" w:hAnsi="Arial"/>
          <w:sz w:val="15"/>
          <w:szCs w:val="15"/>
          <w:color w:val="auto"/>
        </w:rPr>
        <w:t>Securities as to which any property deliverable upon conversion thereof has been delivered (or such delivery has been made available), or as to which any other particular conditions have been satisfied, in each case as may be provided for such Securities as contemplated in Section 2.03.</w:t>
      </w:r>
    </w:p>
    <w:p>
      <w:pPr>
        <w:spacing w:after="0" w:line="125" w:lineRule="exact"/>
        <w:rPr>
          <w:sz w:val="20"/>
          <w:szCs w:val="20"/>
          <w:color w:val="auto"/>
        </w:rPr>
      </w:pPr>
    </w:p>
    <w:p>
      <w:pPr>
        <w:ind w:right="60" w:firstLine="595"/>
        <w:spacing w:after="0" w:line="283" w:lineRule="auto"/>
        <w:rPr>
          <w:sz w:val="20"/>
          <w:szCs w:val="20"/>
          <w:color w:val="auto"/>
        </w:rPr>
      </w:pPr>
      <w:r>
        <w:rPr>
          <w:rFonts w:ascii="Arial" w:cs="Arial" w:eastAsia="Arial" w:hAnsi="Arial"/>
          <w:sz w:val="15"/>
          <w:szCs w:val="15"/>
          <w:color w:val="auto"/>
        </w:rPr>
        <w:t>In determining whether the Holders of the requisite principal amount of Outstanding Securities of any or all series have given any request, demand, authorization, direction, notice, consent or waiver hereunder, (A)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5.01, (B) if, as of such date, the principal amount payable at the Stated Maturity of a Security is not determinable, the principal amount of such Security which shall be deemed to be Outstanding shall be the amount as specified or determined as contemplated by Section 2.03, and (C) the principal amount of a Security denominated in one or more foreign currencies, composite currencies or currency units which shall be deemed to be Outstanding shall be the U.S. dollar equivalent, determined as of such date in the manner provided as contemplated by Section 2.03, of the principal amount of such Security (or, in the case of a Security described in clause (A) or (B) above, of the amount determined as provided in such clause).</w:t>
      </w:r>
    </w:p>
    <w:p>
      <w:pPr>
        <w:spacing w:after="0" w:line="155" w:lineRule="exact"/>
        <w:rPr>
          <w:sz w:val="20"/>
          <w:szCs w:val="20"/>
          <w:color w:val="auto"/>
        </w:rPr>
      </w:pPr>
    </w:p>
    <w:p>
      <w:pPr>
        <w:ind w:right="200" w:firstLine="59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means any individual, corporation, partnership, limited partnership, limited liability company, joint venture, association, joint stock company, trust, unincorporated organization or government or any agency or political subdivision thereof.</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principal</w:t>
      </w:r>
      <w:r>
        <w:rPr>
          <w:rFonts w:ascii="Arial" w:cs="Arial" w:eastAsia="Arial" w:hAnsi="Arial"/>
          <w:sz w:val="15"/>
          <w:szCs w:val="15"/>
          <w:color w:val="auto"/>
        </w:rPr>
        <w:t>” whenever used with reference to the Securities or any Security or any portion thereof, shall be deemed to include “and premium, if any”.</w:t>
      </w:r>
    </w:p>
    <w:p>
      <w:pPr>
        <w:spacing w:after="0" w:line="224"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 xml:space="preserve">“record date” </w:t>
      </w:r>
      <w:r>
        <w:rPr>
          <w:rFonts w:ascii="Arial" w:cs="Arial" w:eastAsia="Arial" w:hAnsi="Arial"/>
          <w:sz w:val="17"/>
          <w:szCs w:val="17"/>
          <w:color w:val="auto"/>
        </w:rPr>
        <w:t>shall have the meaning set forth in Section 2.07.</w:t>
      </w:r>
    </w:p>
    <w:p>
      <w:pPr>
        <w:spacing w:after="0" w:line="201" w:lineRule="exact"/>
        <w:rPr>
          <w:sz w:val="20"/>
          <w:szCs w:val="20"/>
          <w:color w:val="auto"/>
        </w:rPr>
      </w:pPr>
    </w:p>
    <w:p>
      <w:pPr>
        <w:ind w:firstLine="595"/>
        <w:spacing w:after="0" w:line="29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Responsible Officer</w:t>
      </w:r>
      <w:r>
        <w:rPr>
          <w:rFonts w:ascii="Arial" w:cs="Arial" w:eastAsia="Arial" w:hAnsi="Arial"/>
          <w:sz w:val="15"/>
          <w:szCs w:val="15"/>
          <w:color w:val="auto"/>
        </w:rPr>
        <w:t>”, when used with respect to the Trustee, means the chairman of the board of directors, any vice chairman of the board of directors, the chairman of the trust committee, the chairman of the executive committee, any vice chairman of the executive committee, the president, any vice president, the cashier, the secretary, the treasurer, any trust officer, any assistant trust officer, any assistant vice president, any assistant cashier, any assistant secretary, any assistant treasurer, or any other officer or assistant officer of the Trustee customarily performing functions similar to those performed by the persons who at the time shall be such officers, respectively, or to whom any corporate trust matter is referred because of his or her knowledge of and familiarity with the particular subject.</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4">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00"/>
          </w:cols>
          <w:pgMar w:left="320" w:top="846" w:right="379" w:bottom="1440" w:gutter="0" w:footer="0" w:header="0"/>
        </w:sectPr>
      </w:pPr>
    </w:p>
    <w:bookmarkStart w:id="112" w:name="page113"/>
    <w:bookmarkEnd w:id="112"/>
    <w:p>
      <w:pPr>
        <w:ind w:right="460" w:firstLine="59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Security</w:t>
      </w:r>
      <w:r>
        <w:rPr>
          <w:rFonts w:ascii="Arial" w:cs="Arial" w:eastAsia="Arial" w:hAnsi="Arial"/>
          <w:sz w:val="17"/>
          <w:szCs w:val="17"/>
          <w:color w:val="auto"/>
        </w:rPr>
        <w:t>” or “</w:t>
      </w:r>
      <w:r>
        <w:rPr>
          <w:rFonts w:ascii="Arial" w:cs="Arial" w:eastAsia="Arial" w:hAnsi="Arial"/>
          <w:sz w:val="17"/>
          <w:szCs w:val="17"/>
          <w:b w:val="1"/>
          <w:bCs w:val="1"/>
          <w:color w:val="auto"/>
        </w:rPr>
        <w:t>Securities</w:t>
      </w:r>
      <w:r>
        <w:rPr>
          <w:rFonts w:ascii="Arial" w:cs="Arial" w:eastAsia="Arial" w:hAnsi="Arial"/>
          <w:sz w:val="17"/>
          <w:szCs w:val="17"/>
          <w:color w:val="auto"/>
        </w:rPr>
        <w:t>” has the meaning stated in the first recital of this Indenture, or, as the case may be, Securities that have been authenticated and delivered under this Indenture.</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Security Registrar</w:t>
      </w:r>
      <w:r>
        <w:rPr>
          <w:rFonts w:ascii="Arial" w:cs="Arial" w:eastAsia="Arial" w:hAnsi="Arial"/>
          <w:sz w:val="17"/>
          <w:szCs w:val="17"/>
          <w:color w:val="auto"/>
        </w:rPr>
        <w:t>” shall have the meaning set forth in Section 4.01(b).</w:t>
      </w:r>
    </w:p>
    <w:p>
      <w:pPr>
        <w:spacing w:after="0" w:line="201" w:lineRule="exact"/>
        <w:rPr>
          <w:sz w:val="20"/>
          <w:szCs w:val="20"/>
          <w:color w:val="auto"/>
        </w:rPr>
      </w:pPr>
    </w:p>
    <w:p>
      <w:pPr>
        <w:ind w:right="120" w:firstLine="59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Senior Indebtedness</w:t>
      </w:r>
      <w:r>
        <w:rPr>
          <w:rFonts w:ascii="Arial" w:cs="Arial" w:eastAsia="Arial" w:hAnsi="Arial"/>
          <w:sz w:val="17"/>
          <w:szCs w:val="17"/>
          <w:color w:val="auto"/>
        </w:rPr>
        <w:t>” of a Person means the principal of, premium, if any, interest on, and any other payment due pursuant to any of the following, whether outstanding at the date hereof or hereafter incurred or created:</w:t>
      </w:r>
    </w:p>
    <w:p>
      <w:pPr>
        <w:spacing w:after="0" w:line="168" w:lineRule="exact"/>
        <w:rPr>
          <w:sz w:val="20"/>
          <w:szCs w:val="20"/>
          <w:color w:val="auto"/>
        </w:rPr>
      </w:pPr>
    </w:p>
    <w:p>
      <w:pPr>
        <w:ind w:left="2000" w:hanging="810"/>
        <w:spacing w:after="0"/>
        <w:tabs>
          <w:tab w:leader="none" w:pos="20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all of the indebtedness of that Person for money borrowed;</w:t>
      </w:r>
    </w:p>
    <w:p>
      <w:pPr>
        <w:spacing w:after="0" w:line="201" w:lineRule="exact"/>
        <w:rPr>
          <w:rFonts w:ascii="Arial" w:cs="Arial" w:eastAsia="Arial" w:hAnsi="Arial"/>
          <w:sz w:val="17"/>
          <w:szCs w:val="17"/>
          <w:color w:val="auto"/>
        </w:rPr>
      </w:pPr>
    </w:p>
    <w:p>
      <w:pPr>
        <w:ind w:left="2000" w:hanging="810"/>
        <w:spacing w:after="0"/>
        <w:tabs>
          <w:tab w:leader="none" w:pos="2000" w:val="left"/>
        </w:tabs>
        <w:numPr>
          <w:ilvl w:val="0"/>
          <w:numId w:val="75"/>
        </w:numPr>
        <w:rPr>
          <w:rFonts w:ascii="Arial" w:cs="Arial" w:eastAsia="Arial" w:hAnsi="Arial"/>
          <w:sz w:val="15"/>
          <w:szCs w:val="15"/>
          <w:color w:val="auto"/>
        </w:rPr>
      </w:pPr>
      <w:r>
        <w:rPr>
          <w:rFonts w:ascii="Arial" w:cs="Arial" w:eastAsia="Arial" w:hAnsi="Arial"/>
          <w:sz w:val="15"/>
          <w:szCs w:val="15"/>
          <w:color w:val="auto"/>
        </w:rPr>
        <w:t>all of the indebtedness of that Person evidenced by notes, debentures, bonds or other securities sold by that Person for money;</w:t>
      </w:r>
    </w:p>
    <w:p>
      <w:pPr>
        <w:spacing w:after="0" w:line="224" w:lineRule="exact"/>
        <w:rPr>
          <w:rFonts w:ascii="Arial" w:cs="Arial" w:eastAsia="Arial" w:hAnsi="Arial"/>
          <w:sz w:val="15"/>
          <w:szCs w:val="15"/>
          <w:color w:val="auto"/>
        </w:rPr>
      </w:pPr>
    </w:p>
    <w:p>
      <w:pPr>
        <w:ind w:left="2000" w:hanging="810"/>
        <w:spacing w:after="0"/>
        <w:tabs>
          <w:tab w:leader="none" w:pos="2000" w:val="left"/>
        </w:tabs>
        <w:numPr>
          <w:ilvl w:val="0"/>
          <w:numId w:val="75"/>
        </w:numPr>
        <w:rPr>
          <w:rFonts w:ascii="Arial" w:cs="Arial" w:eastAsia="Arial" w:hAnsi="Arial"/>
          <w:sz w:val="15"/>
          <w:szCs w:val="15"/>
          <w:color w:val="auto"/>
        </w:rPr>
      </w:pPr>
      <w:r>
        <w:rPr>
          <w:rFonts w:ascii="Arial" w:cs="Arial" w:eastAsia="Arial" w:hAnsi="Arial"/>
          <w:sz w:val="15"/>
          <w:szCs w:val="15"/>
          <w:color w:val="auto"/>
        </w:rPr>
        <w:t>all of the lease obligations which are capitalized on the books of that Person in accordance with generally accepted accounting principles;</w:t>
      </w:r>
    </w:p>
    <w:p>
      <w:pPr>
        <w:spacing w:after="0" w:line="224" w:lineRule="exact"/>
        <w:rPr>
          <w:rFonts w:ascii="Arial" w:cs="Arial" w:eastAsia="Arial" w:hAnsi="Arial"/>
          <w:sz w:val="15"/>
          <w:szCs w:val="15"/>
          <w:color w:val="auto"/>
        </w:rPr>
      </w:pPr>
    </w:p>
    <w:p>
      <w:pPr>
        <w:ind w:firstLine="1190"/>
        <w:spacing w:after="0" w:line="252" w:lineRule="auto"/>
        <w:tabs>
          <w:tab w:leader="none" w:pos="2003" w:val="left"/>
        </w:tabs>
        <w:numPr>
          <w:ilvl w:val="0"/>
          <w:numId w:val="75"/>
        </w:numPr>
        <w:rPr>
          <w:rFonts w:ascii="Arial" w:cs="Arial" w:eastAsia="Arial" w:hAnsi="Arial"/>
          <w:sz w:val="17"/>
          <w:szCs w:val="17"/>
          <w:color w:val="auto"/>
        </w:rPr>
      </w:pPr>
      <w:r>
        <w:rPr>
          <w:rFonts w:ascii="Arial" w:cs="Arial" w:eastAsia="Arial" w:hAnsi="Arial"/>
          <w:sz w:val="17"/>
          <w:szCs w:val="17"/>
          <w:color w:val="auto"/>
        </w:rPr>
        <w:t>all indebtedness of others of the kinds described in either of the preceding clauses (a) or (b) above and all lease obligations of others of the kind described in the preceding clause (c) above that the Person, in any manner, assumes or guarantees or that the Person in effect guarantees through an agreement to purchase, whether that agreement is contingent or otherwise; and</w:t>
      </w:r>
    </w:p>
    <w:p>
      <w:pPr>
        <w:spacing w:after="0" w:line="178" w:lineRule="exact"/>
        <w:rPr>
          <w:rFonts w:ascii="Arial" w:cs="Arial" w:eastAsia="Arial" w:hAnsi="Arial"/>
          <w:sz w:val="17"/>
          <w:szCs w:val="17"/>
          <w:color w:val="auto"/>
        </w:rPr>
      </w:pPr>
    </w:p>
    <w:p>
      <w:pPr>
        <w:ind w:right="500" w:firstLine="1190"/>
        <w:spacing w:after="0" w:line="260" w:lineRule="auto"/>
        <w:tabs>
          <w:tab w:leader="none" w:pos="1994" w:val="left"/>
        </w:tabs>
        <w:numPr>
          <w:ilvl w:val="0"/>
          <w:numId w:val="75"/>
        </w:numPr>
        <w:rPr>
          <w:rFonts w:ascii="Arial" w:cs="Arial" w:eastAsia="Arial" w:hAnsi="Arial"/>
          <w:sz w:val="17"/>
          <w:szCs w:val="17"/>
          <w:color w:val="auto"/>
        </w:rPr>
      </w:pPr>
      <w:r>
        <w:rPr>
          <w:rFonts w:ascii="Arial" w:cs="Arial" w:eastAsia="Arial" w:hAnsi="Arial"/>
          <w:sz w:val="17"/>
          <w:szCs w:val="17"/>
          <w:color w:val="auto"/>
        </w:rPr>
        <w:t>all renewals, extensions or refundings of indebtedness of the kinds described in any of the preceding clauses (a), (b) and (d) and all renewals or extensions of leases of the kinds described in either of the preceding clauses (c) or (d) above;</w:t>
      </w:r>
    </w:p>
    <w:p>
      <w:pPr>
        <w:spacing w:after="0" w:line="172" w:lineRule="exact"/>
        <w:rPr>
          <w:sz w:val="20"/>
          <w:szCs w:val="20"/>
          <w:color w:val="auto"/>
        </w:rPr>
      </w:pPr>
    </w:p>
    <w:p>
      <w:pPr>
        <w:ind w:right="20"/>
        <w:spacing w:after="0" w:line="327" w:lineRule="auto"/>
        <w:rPr>
          <w:sz w:val="20"/>
          <w:szCs w:val="20"/>
          <w:color w:val="auto"/>
        </w:rPr>
      </w:pPr>
      <w:r>
        <w:rPr>
          <w:rFonts w:ascii="Arial" w:cs="Arial" w:eastAsia="Arial" w:hAnsi="Arial"/>
          <w:sz w:val="15"/>
          <w:szCs w:val="15"/>
          <w:i w:val="1"/>
          <w:iCs w:val="1"/>
          <w:color w:val="auto"/>
        </w:rPr>
        <w:t>unless</w:t>
      </w:r>
      <w:r>
        <w:rPr>
          <w:rFonts w:ascii="Arial" w:cs="Arial" w:eastAsia="Arial" w:hAnsi="Arial"/>
          <w:sz w:val="15"/>
          <w:szCs w:val="15"/>
          <w:color w:val="auto"/>
        </w:rPr>
        <w:t>, in the case of any particular indebtedness, lease, renewal, extension or refunding, the instrument or lease creating or evidencing it or the assumption or guarantee</w:t>
      </w:r>
      <w:r>
        <w:rPr>
          <w:rFonts w:ascii="Arial" w:cs="Arial" w:eastAsia="Arial" w:hAnsi="Arial"/>
          <w:sz w:val="15"/>
          <w:szCs w:val="15"/>
          <w:i w:val="1"/>
          <w:iCs w:val="1"/>
          <w:color w:val="auto"/>
        </w:rPr>
        <w:t xml:space="preserve"> </w:t>
      </w:r>
      <w:r>
        <w:rPr>
          <w:rFonts w:ascii="Arial" w:cs="Arial" w:eastAsia="Arial" w:hAnsi="Arial"/>
          <w:sz w:val="15"/>
          <w:szCs w:val="15"/>
          <w:color w:val="auto"/>
        </w:rPr>
        <w:t>relating to it expressly provides that such indebtedness, lease, renewal, extension or refunding is not superior in right of payment to the Securities.</w:t>
      </w:r>
    </w:p>
    <w:p>
      <w:pPr>
        <w:spacing w:after="0" w:line="121" w:lineRule="exact"/>
        <w:rPr>
          <w:sz w:val="20"/>
          <w:szCs w:val="20"/>
          <w:color w:val="auto"/>
        </w:rPr>
      </w:pPr>
    </w:p>
    <w:p>
      <w:pPr>
        <w:ind w:right="120" w:firstLine="595"/>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Stated Maturity</w:t>
      </w:r>
      <w:r>
        <w:rPr>
          <w:rFonts w:ascii="Arial" w:cs="Arial" w:eastAsia="Arial" w:hAnsi="Arial"/>
          <w:sz w:val="17"/>
          <w:szCs w:val="17"/>
          <w:color w:val="auto"/>
        </w:rPr>
        <w:t>”, with respect to any Security or any installment of principal thereof or interest thereon or any Additional Amounts with respect thereto, means the date established by or pursuant to this Indenture or such Security as the fixed date on which the principal of such Security or such installment of principal or interest is, or such Additional Amounts are, due and payable.</w:t>
      </w:r>
    </w:p>
    <w:p>
      <w:pPr>
        <w:spacing w:after="0" w:line="173" w:lineRule="exact"/>
        <w:rPr>
          <w:sz w:val="20"/>
          <w:szCs w:val="20"/>
          <w:color w:val="auto"/>
        </w:rPr>
      </w:pPr>
    </w:p>
    <w:p>
      <w:pPr>
        <w:ind w:right="60" w:firstLine="595"/>
        <w:spacing w:after="0" w:line="29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Subsidiary</w:t>
      </w:r>
      <w:r>
        <w:rPr>
          <w:rFonts w:ascii="Arial" w:cs="Arial" w:eastAsia="Arial" w:hAnsi="Arial"/>
          <w:sz w:val="15"/>
          <w:szCs w:val="15"/>
          <w:color w:val="auto"/>
        </w:rPr>
        <w:t>” means any corporation or other entity (including, without limitation, partnerships, limited liability companies, joint ventures and associations) of which at least a majority of the outstanding Capital Stock having by the terms thereof (without regard to the occurrence or any contingency) ordinary voting power for the election of directors (or persons performing similar functions) of such corporation or other entity (irrespective of whether or not at the time the Capital Stock of any other class or classes of such corporation or other entity shall have or might have voting power by reason of the occurrence of any such contingency) is at the time directly or indirectly owned by the Issuer, or by one or more Subsidiaries of the Issuer, or by the Issuer and one or more other Subsidiaries of the Issuer.</w:t>
      </w: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5">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160"/>
          </w:cols>
          <w:pgMar w:left="320" w:top="842" w:right="419" w:bottom="1440" w:gutter="0" w:footer="0" w:header="0"/>
        </w:sectPr>
      </w:pPr>
    </w:p>
    <w:bookmarkStart w:id="113" w:name="page114"/>
    <w:bookmarkEnd w:id="113"/>
    <w:p>
      <w:pPr>
        <w:ind w:right="320" w:firstLine="59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Trust Indenture Act of 1939</w:t>
      </w:r>
      <w:r>
        <w:rPr>
          <w:rFonts w:ascii="Arial" w:cs="Arial" w:eastAsia="Arial" w:hAnsi="Arial"/>
          <w:sz w:val="17"/>
          <w:szCs w:val="17"/>
          <w:color w:val="auto"/>
        </w:rPr>
        <w:t>” (except as otherwise provided in Sections 8.01 and 8.02) means the Trust Indenture Act of 1939 as in force at the date as of which this Indenture was originally executed.</w:t>
      </w:r>
    </w:p>
    <w:p>
      <w:pPr>
        <w:spacing w:after="0" w:line="164" w:lineRule="exact"/>
        <w:rPr>
          <w:sz w:val="20"/>
          <w:szCs w:val="20"/>
          <w:color w:val="auto"/>
        </w:rPr>
      </w:pPr>
    </w:p>
    <w:p>
      <w:pPr>
        <w:ind w:right="160" w:firstLine="595"/>
        <w:spacing w:after="0" w:line="30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Trustee</w:t>
      </w:r>
      <w:r>
        <w:rPr>
          <w:rFonts w:ascii="Arial" w:cs="Arial" w:eastAsia="Arial" w:hAnsi="Arial"/>
          <w:sz w:val="15"/>
          <w:szCs w:val="15"/>
          <w:color w:val="auto"/>
        </w:rPr>
        <w:t>” means the Person identified as “</w:t>
      </w:r>
      <w:r>
        <w:rPr>
          <w:rFonts w:ascii="Arial" w:cs="Arial" w:eastAsia="Arial" w:hAnsi="Arial"/>
          <w:sz w:val="15"/>
          <w:szCs w:val="15"/>
          <w:b w:val="1"/>
          <w:bCs w:val="1"/>
          <w:color w:val="auto"/>
        </w:rPr>
        <w:t>Trustee</w:t>
      </w:r>
      <w:r>
        <w:rPr>
          <w:rFonts w:ascii="Arial" w:cs="Arial" w:eastAsia="Arial" w:hAnsi="Arial"/>
          <w:sz w:val="15"/>
          <w:szCs w:val="15"/>
          <w:color w:val="auto"/>
        </w:rPr>
        <w:t>” in the first paragraph hereof and, subject to the provisions of Article 6, shall also include any successor trustee. “</w:t>
      </w:r>
      <w:r>
        <w:rPr>
          <w:rFonts w:ascii="Arial" w:cs="Arial" w:eastAsia="Arial" w:hAnsi="Arial"/>
          <w:sz w:val="15"/>
          <w:szCs w:val="15"/>
          <w:b w:val="1"/>
          <w:bCs w:val="1"/>
          <w:color w:val="auto"/>
        </w:rPr>
        <w:t>Trustee</w:t>
      </w:r>
      <w:r>
        <w:rPr>
          <w:rFonts w:ascii="Arial" w:cs="Arial" w:eastAsia="Arial" w:hAnsi="Arial"/>
          <w:sz w:val="15"/>
          <w:szCs w:val="15"/>
          <w:color w:val="auto"/>
        </w:rPr>
        <w:t>” shall also mean or include each Person who is then a trustee hereunder and if at any time there is more than one such Person, “</w:t>
      </w:r>
      <w:r>
        <w:rPr>
          <w:rFonts w:ascii="Arial" w:cs="Arial" w:eastAsia="Arial" w:hAnsi="Arial"/>
          <w:sz w:val="15"/>
          <w:szCs w:val="15"/>
          <w:b w:val="1"/>
          <w:bCs w:val="1"/>
          <w:color w:val="auto"/>
        </w:rPr>
        <w:t>Trustee</w:t>
      </w:r>
      <w:r>
        <w:rPr>
          <w:rFonts w:ascii="Arial" w:cs="Arial" w:eastAsia="Arial" w:hAnsi="Arial"/>
          <w:sz w:val="15"/>
          <w:szCs w:val="15"/>
          <w:color w:val="auto"/>
        </w:rPr>
        <w:t>” as used with respect to the Securities of any series shall mean the trustee with respect to the Securities of such series.</w:t>
      </w:r>
    </w:p>
    <w:p>
      <w:pPr>
        <w:spacing w:after="0" w:line="138" w:lineRule="exact"/>
        <w:rPr>
          <w:sz w:val="20"/>
          <w:szCs w:val="20"/>
          <w:color w:val="auto"/>
        </w:rPr>
      </w:pPr>
    </w:p>
    <w:p>
      <w:pPr>
        <w:ind w:right="140" w:firstLine="595"/>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U.S. Government Obligation</w:t>
      </w:r>
      <w:r>
        <w:rPr>
          <w:rFonts w:ascii="Arial" w:cs="Arial" w:eastAsia="Arial" w:hAnsi="Arial"/>
          <w:sz w:val="17"/>
          <w:szCs w:val="17"/>
          <w:color w:val="auto"/>
        </w:rPr>
        <w:t>” means (a) a direct obligation of the United States of America, backed by its full faith and credit, or (b) an obligation of a Person controlled or supervised by and acting as an agency or instrumentality of the United States of America, the payment of which is unconditionally guaranteed as a full faith and credit obligation by the United States of America.</w:t>
      </w:r>
    </w:p>
    <w:p>
      <w:pPr>
        <w:spacing w:after="0" w:line="173" w:lineRule="exact"/>
        <w:rPr>
          <w:sz w:val="20"/>
          <w:szCs w:val="20"/>
          <w:color w:val="auto"/>
        </w:rPr>
      </w:pPr>
    </w:p>
    <w:p>
      <w:pPr>
        <w:ind w:right="360" w:firstLine="59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vice president</w:t>
      </w:r>
      <w:r>
        <w:rPr>
          <w:rFonts w:ascii="Arial" w:cs="Arial" w:eastAsia="Arial" w:hAnsi="Arial"/>
          <w:sz w:val="17"/>
          <w:szCs w:val="17"/>
          <w:color w:val="auto"/>
        </w:rPr>
        <w:t>”, when used with respect to the Issuer or the Trustee, means any vice president, whether or not designated by a number or a word or words added before or after the title of “vice president”.</w:t>
      </w:r>
    </w:p>
    <w:p>
      <w:pPr>
        <w:spacing w:after="0" w:line="164" w:lineRule="exact"/>
        <w:rPr>
          <w:sz w:val="20"/>
          <w:szCs w:val="20"/>
          <w:color w:val="auto"/>
        </w:rPr>
      </w:pPr>
    </w:p>
    <w:p>
      <w:pPr>
        <w:ind w:right="220" w:firstLine="59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Yield to Maturity</w:t>
      </w:r>
      <w:r>
        <w:rPr>
          <w:rFonts w:ascii="Arial" w:cs="Arial" w:eastAsia="Arial" w:hAnsi="Arial"/>
          <w:sz w:val="17"/>
          <w:szCs w:val="17"/>
          <w:color w:val="auto"/>
        </w:rPr>
        <w:t>” means the yield to maturity on a series of securities, calculated at the time of issuance of such series, or, if applicable, at the most recent redetermination of interest on such series, and calculated in accordance with accepted financial practice.</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2</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SECURITIES</w:t>
      </w:r>
    </w:p>
    <w:p>
      <w:pPr>
        <w:spacing w:after="0" w:line="191" w:lineRule="exact"/>
        <w:rPr>
          <w:sz w:val="20"/>
          <w:szCs w:val="20"/>
          <w:color w:val="auto"/>
        </w:rPr>
      </w:pPr>
    </w:p>
    <w:p>
      <w:pPr>
        <w:ind w:firstLine="595"/>
        <w:spacing w:after="0" w:line="246"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i w:val="1"/>
          <w:iCs w:val="1"/>
          <w:color w:val="auto"/>
        </w:rPr>
        <w:t>Forms Generally.</w:t>
      </w:r>
      <w:r>
        <w:rPr>
          <w:rFonts w:ascii="Arial" w:cs="Arial" w:eastAsia="Arial" w:hAnsi="Arial"/>
          <w:sz w:val="17"/>
          <w:szCs w:val="17"/>
          <w:color w:val="auto"/>
        </w:rPr>
        <w:t xml:space="preserve"> The Securities of each series shall be substantially in such form (not inconsistent with this Indenture) as shall be established by or pursuant to one or more Board Resolutions (as set forth in a Board Resolution or, to the extent established pursuant to (rather than set forth in) a Board Resolution, an Officer’s Certificate detailing such establishment) or in one or more indentures supplemental hereto, in each case with such appropriate insertions, omissions, substitutions and other variations as are required or permitted by this Indenture and may have imprinted or otherwise reproduced thereon such legend or legends or endorsements, not inconsistent with the provisions of this Indenture, as may be required to comply with any law or with any rules or regulations pursuant thereto, or with any rules of any securities exchange or to conform to general usage, all as may be determined by the officers executing such Securities as evidenced by their execution of such Securities.</w:t>
      </w:r>
    </w:p>
    <w:p>
      <w:pPr>
        <w:spacing w:after="0" w:line="185" w:lineRule="exact"/>
        <w:rPr>
          <w:sz w:val="20"/>
          <w:szCs w:val="20"/>
          <w:color w:val="auto"/>
        </w:rPr>
      </w:pPr>
    </w:p>
    <w:p>
      <w:pPr>
        <w:ind w:right="80" w:firstLine="595"/>
        <w:spacing w:after="0" w:line="260" w:lineRule="auto"/>
        <w:rPr>
          <w:sz w:val="20"/>
          <w:szCs w:val="20"/>
          <w:color w:val="auto"/>
        </w:rPr>
      </w:pPr>
      <w:r>
        <w:rPr>
          <w:rFonts w:ascii="Arial" w:cs="Arial" w:eastAsia="Arial" w:hAnsi="Arial"/>
          <w:sz w:val="17"/>
          <w:szCs w:val="17"/>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172" w:lineRule="exact"/>
        <w:rPr>
          <w:sz w:val="20"/>
          <w:szCs w:val="20"/>
          <w:color w:val="auto"/>
        </w:rPr>
      </w:pPr>
    </w:p>
    <w:p>
      <w:pPr>
        <w:ind w:right="580" w:firstLine="595"/>
        <w:spacing w:after="0" w:line="260"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i w:val="1"/>
          <w:iCs w:val="1"/>
          <w:color w:val="auto"/>
        </w:rPr>
        <w:t>Form of Trustee’s Certificate of Authentication.</w:t>
      </w:r>
      <w:r>
        <w:rPr>
          <w:rFonts w:ascii="Arial" w:cs="Arial" w:eastAsia="Arial" w:hAnsi="Arial"/>
          <w:sz w:val="17"/>
          <w:szCs w:val="17"/>
          <w:color w:val="auto"/>
        </w:rPr>
        <w:t xml:space="preserve"> The Trustee’s certificate of authentication on all Securities shall be in substantially the following form:</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6">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20"/>
          </w:cols>
          <w:pgMar w:left="320" w:top="842" w:right="359" w:bottom="1440" w:gutter="0" w:footer="0" w:header="0"/>
        </w:sectPr>
      </w:pPr>
    </w:p>
    <w:bookmarkStart w:id="114" w:name="page115"/>
    <w:bookmarkEnd w:id="114"/>
    <w:p>
      <w:pPr>
        <w:ind w:left="600"/>
        <w:spacing w:after="0"/>
        <w:rPr>
          <w:sz w:val="20"/>
          <w:szCs w:val="20"/>
          <w:color w:val="auto"/>
        </w:rPr>
      </w:pPr>
      <w:r>
        <w:rPr>
          <w:rFonts w:ascii="Arial" w:cs="Arial" w:eastAsia="Arial" w:hAnsi="Arial"/>
          <w:sz w:val="17"/>
          <w:szCs w:val="17"/>
          <w:color w:val="auto"/>
        </w:rPr>
        <w:t>This is one of the Securities of the series designated herein and referred to in the within-mentioned Indenture.</w:t>
      </w:r>
    </w:p>
    <w:p>
      <w:pPr>
        <w:spacing w:after="0" w:line="200" w:lineRule="exact"/>
        <w:rPr>
          <w:sz w:val="20"/>
          <w:szCs w:val="20"/>
          <w:color w:val="auto"/>
        </w:rPr>
      </w:pPr>
    </w:p>
    <w:p>
      <w:pPr>
        <w:spacing w:after="0" w:line="21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-123190</wp:posOffset>
            </wp:positionV>
            <wp:extent cx="356806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7">
                      <a:extLst>
                        <a:ext uri="{28A0092B-C50C-407E-A947-70E740481C1C}"/>
                      </a:extLst>
                    </a:blip>
                    <a:srcRect/>
                    <a:stretch>
                      <a:fillRect/>
                    </a:stretch>
                  </pic:blipFill>
                  <pic:spPr bwMode="auto">
                    <a:xfrm>
                      <a:off x="0" y="0"/>
                      <a:ext cx="3568065" cy="7620"/>
                    </a:xfrm>
                    <a:prstGeom prst="rect">
                      <a:avLst/>
                    </a:prstGeom>
                    <a:noFill/>
                  </pic:spPr>
                </pic:pic>
              </a:graphicData>
            </a:graphic>
          </wp:anchor>
        </w:drawing>
      </w:r>
    </w:p>
    <w:p>
      <w:pPr>
        <w:spacing w:after="0" w:line="181"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By:</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3787775</wp:posOffset>
            </wp:positionH>
            <wp:positionV relativeFrom="paragraph">
              <wp:posOffset>-123190</wp:posOffset>
            </wp:positionV>
            <wp:extent cx="335534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8">
                      <a:extLst>
                        <a:ext uri="{28A0092B-C50C-407E-A947-70E740481C1C}"/>
                      </a:extLst>
                    </a:blip>
                    <a:srcRect/>
                    <a:stretch>
                      <a:fillRect/>
                    </a:stretch>
                  </pic:blipFill>
                  <pic:spPr bwMode="auto">
                    <a:xfrm>
                      <a:off x="0" y="0"/>
                      <a:ext cx="3355340" cy="7620"/>
                    </a:xfrm>
                    <a:prstGeom prst="rect">
                      <a:avLst/>
                    </a:prstGeom>
                    <a:noFill/>
                  </pic:spPr>
                </pic:pic>
              </a:graphicData>
            </a:graphic>
          </wp:anchor>
        </w:drawing>
      </w:r>
    </w:p>
    <w:p>
      <w:pPr>
        <w:spacing w:after="0" w:line="181" w:lineRule="exact"/>
        <w:rPr>
          <w:sz w:val="20"/>
          <w:szCs w:val="20"/>
          <w:color w:val="auto"/>
        </w:rPr>
      </w:pPr>
    </w:p>
    <w:p>
      <w:pPr>
        <w:ind w:right="440" w:firstLine="595"/>
        <w:spacing w:after="0" w:line="260" w:lineRule="auto"/>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i w:val="1"/>
          <w:iCs w:val="1"/>
          <w:color w:val="auto"/>
        </w:rPr>
        <w:t>Amount Unlimited</w:t>
      </w:r>
      <w:r>
        <w:rPr>
          <w:rFonts w:ascii="Arial" w:cs="Arial" w:eastAsia="Arial" w:hAnsi="Arial"/>
          <w:sz w:val="17"/>
          <w:szCs w:val="17"/>
          <w:color w:val="auto"/>
        </w:rPr>
        <w:t xml:space="preserve">; </w:t>
      </w:r>
      <w:r>
        <w:rPr>
          <w:rFonts w:ascii="Arial" w:cs="Arial" w:eastAsia="Arial" w:hAnsi="Arial"/>
          <w:sz w:val="17"/>
          <w:szCs w:val="17"/>
          <w:i w:val="1"/>
          <w:iCs w:val="1"/>
          <w:color w:val="auto"/>
        </w:rPr>
        <w:t>Issuable in Series.</w:t>
      </w:r>
      <w:r>
        <w:rPr>
          <w:rFonts w:ascii="Arial" w:cs="Arial" w:eastAsia="Arial" w:hAnsi="Arial"/>
          <w:sz w:val="17"/>
          <w:szCs w:val="17"/>
          <w:color w:val="auto"/>
        </w:rPr>
        <w:t xml:space="preserve"> The aggregate principal amount of Securities which may be authenticated and delivered under this Indenture is unlimited.</w:t>
      </w:r>
    </w:p>
    <w:p>
      <w:pPr>
        <w:spacing w:after="0" w:line="172" w:lineRule="exact"/>
        <w:rPr>
          <w:sz w:val="20"/>
          <w:szCs w:val="20"/>
          <w:color w:val="auto"/>
        </w:rPr>
      </w:pPr>
    </w:p>
    <w:p>
      <w:pPr>
        <w:ind w:right="200" w:firstLine="595"/>
        <w:spacing w:after="0" w:line="249" w:lineRule="auto"/>
        <w:rPr>
          <w:sz w:val="20"/>
          <w:szCs w:val="20"/>
          <w:color w:val="auto"/>
        </w:rPr>
      </w:pPr>
      <w:r>
        <w:rPr>
          <w:rFonts w:ascii="Arial" w:cs="Arial" w:eastAsia="Arial" w:hAnsi="Arial"/>
          <w:sz w:val="17"/>
          <w:szCs w:val="17"/>
          <w:color w:val="auto"/>
        </w:rPr>
        <w:t>The Securities may be issued in one or more series. The terms of a series of Securities shall be established prior to the initial issuance thereof in or pursuant to one or more Board Resolutions, or, to the extent established pursuant to (rather than set forth in) a Board Resolution, in an Officer’s Certificate detailing such establishment and/or established in one or more indentures supplemental hereto. The terms of such series reflected in such Board Resolution, Officer’s Certificate, or supplemental indenture may include the following or any additional or different terms:</w:t>
      </w:r>
    </w:p>
    <w:p>
      <w:pPr>
        <w:spacing w:after="0" w:line="181" w:lineRule="exact"/>
        <w:rPr>
          <w:sz w:val="20"/>
          <w:szCs w:val="20"/>
          <w:color w:val="auto"/>
        </w:rPr>
      </w:pPr>
    </w:p>
    <w:p>
      <w:pPr>
        <w:ind w:left="1660" w:hanging="470"/>
        <w:spacing w:after="0"/>
        <w:tabs>
          <w:tab w:leader="none" w:pos="16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designation of the Securities of the series (which may be part of a series of Securities previously issued);</w:t>
      </w:r>
    </w:p>
    <w:p>
      <w:pPr>
        <w:spacing w:after="0" w:line="201" w:lineRule="exact"/>
        <w:rPr>
          <w:rFonts w:ascii="Arial" w:cs="Arial" w:eastAsia="Arial" w:hAnsi="Arial"/>
          <w:sz w:val="17"/>
          <w:szCs w:val="17"/>
          <w:color w:val="auto"/>
        </w:rPr>
      </w:pPr>
    </w:p>
    <w:p>
      <w:pPr>
        <w:ind w:right="120" w:firstLine="1190"/>
        <w:spacing w:after="0" w:line="252" w:lineRule="auto"/>
        <w:tabs>
          <w:tab w:leader="none" w:pos="1673" w:val="left"/>
        </w:tabs>
        <w:numPr>
          <w:ilvl w:val="0"/>
          <w:numId w:val="76"/>
        </w:numPr>
        <w:rPr>
          <w:rFonts w:ascii="Arial" w:cs="Arial" w:eastAsia="Arial" w:hAnsi="Arial"/>
          <w:sz w:val="17"/>
          <w:szCs w:val="17"/>
          <w:color w:val="auto"/>
        </w:rPr>
      </w:pPr>
      <w:r>
        <w:rPr>
          <w:rFonts w:ascii="Arial" w:cs="Arial" w:eastAsia="Arial" w:hAnsi="Arial"/>
          <w:sz w:val="17"/>
          <w:szCs w:val="17"/>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2.08, 2.09, 2.11, 8.05 or 12.03);</w:t>
      </w:r>
    </w:p>
    <w:p>
      <w:pPr>
        <w:spacing w:after="0" w:line="178" w:lineRule="exact"/>
        <w:rPr>
          <w:rFonts w:ascii="Arial" w:cs="Arial" w:eastAsia="Arial" w:hAnsi="Arial"/>
          <w:sz w:val="17"/>
          <w:szCs w:val="17"/>
          <w:color w:val="auto"/>
        </w:rPr>
      </w:pPr>
    </w:p>
    <w:p>
      <w:pPr>
        <w:ind w:firstLine="1190"/>
        <w:spacing w:after="0" w:line="260" w:lineRule="auto"/>
        <w:tabs>
          <w:tab w:leader="none" w:pos="1663"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date or dates on which the principal of the Securities of the series is payable or the method used to determine those dates and the right, if any, to extend such date or dates;</w:t>
      </w:r>
    </w:p>
    <w:p>
      <w:pPr>
        <w:spacing w:after="0" w:line="171" w:lineRule="exact"/>
        <w:rPr>
          <w:rFonts w:ascii="Arial" w:cs="Arial" w:eastAsia="Arial" w:hAnsi="Arial"/>
          <w:sz w:val="17"/>
          <w:szCs w:val="17"/>
          <w:color w:val="auto"/>
        </w:rPr>
      </w:pPr>
    </w:p>
    <w:p>
      <w:pPr>
        <w:jc w:val="both"/>
        <w:ind w:firstLine="1190"/>
        <w:spacing w:after="0" w:line="293" w:lineRule="auto"/>
        <w:tabs>
          <w:tab w:leader="none" w:pos="1673"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 rate or rates at which the Securities of the series shall bear interest, if any or the method by which such rate or rates shall be determined; the record date or dates for the determination of holders to whom interest is payable; the date or dates from which such interest shall accrue and on which such interest shall be payable , or the method by which such date or dates shall be determined; the right, if any, to extend the interest payment periods and the duration of that extension; and the basis upon which interest shall be calculated if other than that of a 360-day year of twelve 30-day months;</w:t>
      </w:r>
    </w:p>
    <w:p>
      <w:pPr>
        <w:spacing w:after="0" w:line="149" w:lineRule="exact"/>
        <w:rPr>
          <w:rFonts w:ascii="Arial" w:cs="Arial" w:eastAsia="Arial" w:hAnsi="Arial"/>
          <w:sz w:val="15"/>
          <w:szCs w:val="15"/>
          <w:color w:val="auto"/>
        </w:rPr>
      </w:pPr>
    </w:p>
    <w:p>
      <w:pPr>
        <w:ind w:left="1660" w:hanging="470"/>
        <w:spacing w:after="0"/>
        <w:tabs>
          <w:tab w:leader="none" w:pos="1660"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 place or places where the principal of and any interest on Securities of the series shall be payable (if other than as provided in Section 3.02);</w:t>
      </w:r>
    </w:p>
    <w:p>
      <w:pPr>
        <w:spacing w:after="0" w:line="224" w:lineRule="exact"/>
        <w:rPr>
          <w:rFonts w:ascii="Arial" w:cs="Arial" w:eastAsia="Arial" w:hAnsi="Arial"/>
          <w:sz w:val="15"/>
          <w:szCs w:val="15"/>
          <w:color w:val="auto"/>
        </w:rPr>
      </w:pPr>
    </w:p>
    <w:p>
      <w:pPr>
        <w:ind w:right="400" w:firstLine="1190"/>
        <w:spacing w:after="0" w:line="301" w:lineRule="auto"/>
        <w:tabs>
          <w:tab w:leader="none" w:pos="1666"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 obligation or the right, if any, of the Issuer to redeem, purchase or repay Securities of the series pursuant to any mandatory redemption, sinking fund or analogous provisions or at the option of a Holder thereof and the price or prices at which and the period or periods within which and any terms and conditions upon which Securities of the series shall be redeemed, purchased or repaid, in whole or in part, pursuant to such obligation or right;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9">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15" w:name="page116"/>
    <w:bookmarkEnd w:id="115"/>
    <w:p>
      <w:pPr>
        <w:ind w:left="1660" w:hanging="510"/>
        <w:spacing w:after="0"/>
        <w:tabs>
          <w:tab w:leader="none" w:pos="1660" w:val="left"/>
        </w:tabs>
        <w:numPr>
          <w:ilvl w:val="0"/>
          <w:numId w:val="77"/>
        </w:numPr>
        <w:rPr>
          <w:rFonts w:ascii="Arial" w:cs="Arial" w:eastAsia="Arial" w:hAnsi="Arial"/>
          <w:sz w:val="15"/>
          <w:szCs w:val="15"/>
          <w:color w:val="auto"/>
        </w:rPr>
      </w:pPr>
      <w:r>
        <w:rPr>
          <w:rFonts w:ascii="Arial" w:cs="Arial" w:eastAsia="Arial" w:hAnsi="Arial"/>
          <w:sz w:val="15"/>
          <w:szCs w:val="15"/>
          <w:color w:val="auto"/>
        </w:rPr>
        <w:t>if other than denominations of $1,000 or multiples of $1,000, the denominations in which Securities of the series shall be issuable;</w:t>
      </w:r>
    </w:p>
    <w:p>
      <w:pPr>
        <w:spacing w:after="0" w:line="224" w:lineRule="exact"/>
        <w:rPr>
          <w:rFonts w:ascii="Arial" w:cs="Arial" w:eastAsia="Arial" w:hAnsi="Arial"/>
          <w:sz w:val="15"/>
          <w:szCs w:val="15"/>
          <w:color w:val="auto"/>
        </w:rPr>
      </w:pPr>
    </w:p>
    <w:p>
      <w:pPr>
        <w:ind w:left="-40" w:firstLine="1190"/>
        <w:spacing w:after="0" w:line="260" w:lineRule="auto"/>
        <w:tabs>
          <w:tab w:leader="none" w:pos="1633" w:val="left"/>
        </w:tabs>
        <w:numPr>
          <w:ilvl w:val="0"/>
          <w:numId w:val="77"/>
        </w:numPr>
        <w:rPr>
          <w:rFonts w:ascii="Arial" w:cs="Arial" w:eastAsia="Arial" w:hAnsi="Arial"/>
          <w:sz w:val="17"/>
          <w:szCs w:val="17"/>
          <w:color w:val="auto"/>
        </w:rPr>
      </w:pPr>
      <w:r>
        <w:rPr>
          <w:rFonts w:ascii="Arial" w:cs="Arial" w:eastAsia="Arial" w:hAnsi="Arial"/>
          <w:sz w:val="17"/>
          <w:szCs w:val="17"/>
          <w:color w:val="auto"/>
        </w:rPr>
        <w:t>if other than the principal amount thereof, the portion of the principal amount of Securities of the series which shall be payable upon declaration of acceleration of the maturity thereof;</w:t>
      </w:r>
    </w:p>
    <w:p>
      <w:pPr>
        <w:spacing w:after="0" w:line="171" w:lineRule="exact"/>
        <w:rPr>
          <w:rFonts w:ascii="Arial" w:cs="Arial" w:eastAsia="Arial" w:hAnsi="Arial"/>
          <w:sz w:val="17"/>
          <w:szCs w:val="17"/>
          <w:color w:val="auto"/>
        </w:rPr>
      </w:pPr>
    </w:p>
    <w:p>
      <w:pPr>
        <w:ind w:left="1640" w:hanging="490"/>
        <w:spacing w:after="0"/>
        <w:tabs>
          <w:tab w:leader="none" w:pos="16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if other than Dollars, the currency, currencies or currency units in which the Securities of the series are denominated;</w:t>
      </w:r>
    </w:p>
    <w:p>
      <w:pPr>
        <w:spacing w:after="0" w:line="201" w:lineRule="exact"/>
        <w:rPr>
          <w:rFonts w:ascii="Arial" w:cs="Arial" w:eastAsia="Arial" w:hAnsi="Arial"/>
          <w:sz w:val="17"/>
          <w:szCs w:val="17"/>
          <w:color w:val="auto"/>
        </w:rPr>
      </w:pPr>
    </w:p>
    <w:p>
      <w:pPr>
        <w:ind w:left="-40" w:right="20" w:firstLine="1190"/>
        <w:spacing w:after="0" w:line="260" w:lineRule="auto"/>
        <w:tabs>
          <w:tab w:leader="none" w:pos="1658" w:val="left"/>
        </w:tabs>
        <w:numPr>
          <w:ilvl w:val="0"/>
          <w:numId w:val="77"/>
        </w:numPr>
        <w:rPr>
          <w:rFonts w:ascii="Arial" w:cs="Arial" w:eastAsia="Arial" w:hAnsi="Arial"/>
          <w:sz w:val="17"/>
          <w:szCs w:val="17"/>
          <w:color w:val="auto"/>
        </w:rPr>
      </w:pPr>
      <w:r>
        <w:rPr>
          <w:rFonts w:ascii="Arial" w:cs="Arial" w:eastAsia="Arial" w:hAnsi="Arial"/>
          <w:sz w:val="17"/>
          <w:szCs w:val="17"/>
          <w:color w:val="auto"/>
        </w:rPr>
        <w:t>if other than the currency in which the Securities of the series are denominated, the currency in which payment of the principal of or interest on the Securities of such series shall be payable;</w:t>
      </w:r>
    </w:p>
    <w:p>
      <w:pPr>
        <w:spacing w:after="0" w:line="171" w:lineRule="exact"/>
        <w:rPr>
          <w:rFonts w:ascii="Arial" w:cs="Arial" w:eastAsia="Arial" w:hAnsi="Arial"/>
          <w:sz w:val="17"/>
          <w:szCs w:val="17"/>
          <w:color w:val="auto"/>
        </w:rPr>
      </w:pPr>
    </w:p>
    <w:p>
      <w:pPr>
        <w:ind w:left="-40" w:right="100" w:firstLine="1190"/>
        <w:spacing w:after="0" w:line="327" w:lineRule="auto"/>
        <w:tabs>
          <w:tab w:leader="none" w:pos="1653" w:val="left"/>
        </w:tabs>
        <w:numPr>
          <w:ilvl w:val="0"/>
          <w:numId w:val="77"/>
        </w:numPr>
        <w:rPr>
          <w:rFonts w:ascii="Arial" w:cs="Arial" w:eastAsia="Arial" w:hAnsi="Arial"/>
          <w:sz w:val="15"/>
          <w:szCs w:val="15"/>
          <w:color w:val="auto"/>
        </w:rPr>
      </w:pPr>
      <w:r>
        <w:rPr>
          <w:rFonts w:ascii="Arial" w:cs="Arial" w:eastAsia="Arial" w:hAnsi="Arial"/>
          <w:sz w:val="15"/>
          <w:szCs w:val="15"/>
          <w:color w:val="auto"/>
        </w:rPr>
        <w:t>if the principal of or interest on the Securities of the series is to be payable, at the election of the Issuer or a Holder thereof, in a currency other than that in which the Securities are denominated, the period or periods within which, and the terms and conditions upon which, such election may be made;</w:t>
      </w:r>
    </w:p>
    <w:p>
      <w:pPr>
        <w:spacing w:after="0" w:line="125" w:lineRule="exact"/>
        <w:rPr>
          <w:rFonts w:ascii="Arial" w:cs="Arial" w:eastAsia="Arial" w:hAnsi="Arial"/>
          <w:sz w:val="15"/>
          <w:szCs w:val="15"/>
          <w:color w:val="auto"/>
        </w:rPr>
      </w:pPr>
    </w:p>
    <w:p>
      <w:pPr>
        <w:ind w:left="-40" w:right="60" w:firstLine="1190"/>
        <w:spacing w:after="0" w:line="252" w:lineRule="auto"/>
        <w:tabs>
          <w:tab w:leader="none" w:pos="1637" w:val="left"/>
        </w:tabs>
        <w:numPr>
          <w:ilvl w:val="0"/>
          <w:numId w:val="77"/>
        </w:numPr>
        <w:rPr>
          <w:rFonts w:ascii="Arial" w:cs="Arial" w:eastAsia="Arial" w:hAnsi="Arial"/>
          <w:sz w:val="17"/>
          <w:szCs w:val="17"/>
          <w:color w:val="auto"/>
        </w:rPr>
      </w:pPr>
      <w:r>
        <w:rPr>
          <w:rFonts w:ascii="Arial" w:cs="Arial" w:eastAsia="Arial" w:hAnsi="Arial"/>
          <w:sz w:val="17"/>
          <w:szCs w:val="17"/>
          <w:color w:val="auto"/>
        </w:rPr>
        <w:t>if the amount of payments of principal of and interest on the Securities of the series may be determined by reference to an index based on a currency other than that in which the Securities of the series are denominated, or by reference to one or more currency exchange rates, securities or baskets of securities, commodity prices or indices, the manner in which such amounts shall be determined;</w:t>
      </w:r>
    </w:p>
    <w:p>
      <w:pPr>
        <w:spacing w:after="0" w:line="178" w:lineRule="exact"/>
        <w:rPr>
          <w:rFonts w:ascii="Arial" w:cs="Arial" w:eastAsia="Arial" w:hAnsi="Arial"/>
          <w:sz w:val="17"/>
          <w:szCs w:val="17"/>
          <w:color w:val="auto"/>
        </w:rPr>
      </w:pPr>
    </w:p>
    <w:p>
      <w:pPr>
        <w:ind w:left="-40" w:firstLine="1190"/>
        <w:spacing w:after="0" w:line="252" w:lineRule="auto"/>
        <w:tabs>
          <w:tab w:leader="none" w:pos="1658"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terms and conditions, if applicable, upon which conversion or exchange of the Securities into Common Stock will be effected, including the initial conversion or exchange price or rate and any adjustments thereto, the conversion or exchange period and other provisions in addition to or in lieu of those described herein;</w:t>
      </w:r>
    </w:p>
    <w:p>
      <w:pPr>
        <w:spacing w:after="0" w:line="178" w:lineRule="exact"/>
        <w:rPr>
          <w:rFonts w:ascii="Arial" w:cs="Arial" w:eastAsia="Arial" w:hAnsi="Arial"/>
          <w:sz w:val="17"/>
          <w:szCs w:val="17"/>
          <w:color w:val="auto"/>
        </w:rPr>
      </w:pPr>
    </w:p>
    <w:p>
      <w:pPr>
        <w:ind w:left="-40" w:right="140" w:firstLine="1190"/>
        <w:spacing w:after="0" w:line="301" w:lineRule="auto"/>
        <w:tabs>
          <w:tab w:leader="none" w:pos="1633" w:val="left"/>
        </w:tabs>
        <w:numPr>
          <w:ilvl w:val="0"/>
          <w:numId w:val="77"/>
        </w:numPr>
        <w:rPr>
          <w:rFonts w:ascii="Arial" w:cs="Arial" w:eastAsia="Arial" w:hAnsi="Arial"/>
          <w:sz w:val="15"/>
          <w:szCs w:val="15"/>
          <w:color w:val="auto"/>
        </w:rPr>
      </w:pPr>
      <w:r>
        <w:rPr>
          <w:rFonts w:ascii="Arial" w:cs="Arial" w:eastAsia="Arial" w:hAnsi="Arial"/>
          <w:sz w:val="15"/>
          <w:szCs w:val="15"/>
          <w:color w:val="auto"/>
        </w:rPr>
        <w:t>if the Securities of the series may be issued in exchange for surrendered Securities of another series, or for other securities of the Issuer, pursuant to the terms of such Securities or securities or of any agreement entered into by the Issuer, the ratio of the principal amount of the Securities of the series to be issued to the principal amount of the Securities or securities to be surrendered in exchange, and any other material terms of the exchange;</w:t>
      </w:r>
    </w:p>
    <w:p>
      <w:pPr>
        <w:spacing w:after="0" w:line="144" w:lineRule="exact"/>
        <w:rPr>
          <w:rFonts w:ascii="Arial" w:cs="Arial" w:eastAsia="Arial" w:hAnsi="Arial"/>
          <w:sz w:val="15"/>
          <w:szCs w:val="15"/>
          <w:color w:val="auto"/>
        </w:rPr>
      </w:pPr>
    </w:p>
    <w:p>
      <w:pPr>
        <w:ind w:left="1640" w:hanging="490"/>
        <w:spacing w:after="0"/>
        <w:tabs>
          <w:tab w:leader="none" w:pos="16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if Sections 10.01(b) or 10.01(c) are inapplicable to Securities of such series;</w:t>
      </w:r>
    </w:p>
    <w:p>
      <w:pPr>
        <w:spacing w:after="0" w:line="201" w:lineRule="exact"/>
        <w:rPr>
          <w:rFonts w:ascii="Arial" w:cs="Arial" w:eastAsia="Arial" w:hAnsi="Arial"/>
          <w:sz w:val="17"/>
          <w:szCs w:val="17"/>
          <w:color w:val="auto"/>
        </w:rPr>
      </w:pPr>
    </w:p>
    <w:p>
      <w:pPr>
        <w:ind w:left="-40" w:right="340" w:firstLine="1190"/>
        <w:spacing w:after="0" w:line="260" w:lineRule="auto"/>
        <w:tabs>
          <w:tab w:leader="none" w:pos="1612" w:val="left"/>
        </w:tabs>
        <w:numPr>
          <w:ilvl w:val="0"/>
          <w:numId w:val="77"/>
        </w:numPr>
        <w:rPr>
          <w:rFonts w:ascii="Arial" w:cs="Arial" w:eastAsia="Arial" w:hAnsi="Arial"/>
          <w:sz w:val="17"/>
          <w:szCs w:val="17"/>
          <w:color w:val="auto"/>
        </w:rPr>
      </w:pPr>
      <w:r>
        <w:rPr>
          <w:rFonts w:ascii="Arial" w:cs="Arial" w:eastAsia="Arial" w:hAnsi="Arial"/>
          <w:sz w:val="17"/>
          <w:szCs w:val="17"/>
          <w:color w:val="auto"/>
        </w:rPr>
        <w:t>whether and under what circumstances the Issuer will pay Additional Amounts on the Securities and, if so, whether the Issuer will have the option to redeem such Securities rather than pay such additional amounts;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9525</wp:posOffset>
            </wp:positionV>
            <wp:extent cx="714375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0">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160"/>
          </w:cols>
          <w:pgMar w:left="360" w:top="846" w:right="379" w:bottom="1440" w:gutter="0" w:footer="0" w:header="0"/>
        </w:sectPr>
      </w:pPr>
    </w:p>
    <w:bookmarkStart w:id="116" w:name="page117"/>
    <w:bookmarkEnd w:id="116"/>
    <w:p>
      <w:pPr>
        <w:ind w:right="220" w:firstLine="1190"/>
        <w:spacing w:after="0" w:line="252" w:lineRule="auto"/>
        <w:tabs>
          <w:tab w:leader="none" w:pos="1693" w:val="left"/>
        </w:tabs>
        <w:numPr>
          <w:ilvl w:val="0"/>
          <w:numId w:val="78"/>
        </w:numPr>
        <w:rPr>
          <w:rFonts w:ascii="Arial" w:cs="Arial" w:eastAsia="Arial" w:hAnsi="Arial"/>
          <w:sz w:val="17"/>
          <w:szCs w:val="17"/>
          <w:color w:val="auto"/>
        </w:rPr>
      </w:pPr>
      <w:r>
        <w:rPr>
          <w:rFonts w:ascii="Arial" w:cs="Arial" w:eastAsia="Arial" w:hAnsi="Arial"/>
          <w:sz w:val="17"/>
          <w:szCs w:val="17"/>
          <w:color w:val="auto"/>
        </w:rPr>
        <w:t>if the Securities of such series are to be issuable in definitive form (whether upon original issue or upon exchange of a temporary Security of such series) only upon receipt of certain certificates or other documents or satisfaction of other conditions, then the form and terms of such certificates, documents or conditions;</w:t>
      </w:r>
    </w:p>
    <w:p>
      <w:pPr>
        <w:spacing w:after="0" w:line="178" w:lineRule="exact"/>
        <w:rPr>
          <w:rFonts w:ascii="Arial" w:cs="Arial" w:eastAsia="Arial" w:hAnsi="Arial"/>
          <w:sz w:val="17"/>
          <w:szCs w:val="17"/>
          <w:color w:val="auto"/>
        </w:rPr>
      </w:pPr>
    </w:p>
    <w:p>
      <w:pPr>
        <w:ind w:left="1660" w:hanging="470"/>
        <w:spacing w:after="0"/>
        <w:tabs>
          <w:tab w:leader="none" w:pos="1660" w:val="left"/>
        </w:tabs>
        <w:numPr>
          <w:ilvl w:val="0"/>
          <w:numId w:val="78"/>
        </w:numPr>
        <w:rPr>
          <w:rFonts w:ascii="Arial" w:cs="Arial" w:eastAsia="Arial" w:hAnsi="Arial"/>
          <w:sz w:val="15"/>
          <w:szCs w:val="15"/>
          <w:color w:val="auto"/>
        </w:rPr>
      </w:pPr>
      <w:r>
        <w:rPr>
          <w:rFonts w:ascii="Arial" w:cs="Arial" w:eastAsia="Arial" w:hAnsi="Arial"/>
          <w:sz w:val="15"/>
          <w:szCs w:val="15"/>
          <w:color w:val="auto"/>
        </w:rPr>
        <w:t>any trustees, authenticating or paying agents, transfer agents or registrars or any other agents with respect to the Securities of such series;</w:t>
      </w:r>
    </w:p>
    <w:p>
      <w:pPr>
        <w:spacing w:after="0" w:line="224" w:lineRule="exact"/>
        <w:rPr>
          <w:rFonts w:ascii="Arial" w:cs="Arial" w:eastAsia="Arial" w:hAnsi="Arial"/>
          <w:sz w:val="15"/>
          <w:szCs w:val="15"/>
          <w:color w:val="auto"/>
        </w:rPr>
      </w:pPr>
    </w:p>
    <w:p>
      <w:pPr>
        <w:ind w:left="1660" w:hanging="470"/>
        <w:spacing w:after="0"/>
        <w:tabs>
          <w:tab w:leader="none" w:pos="1660" w:val="left"/>
        </w:tabs>
        <w:numPr>
          <w:ilvl w:val="0"/>
          <w:numId w:val="78"/>
        </w:numPr>
        <w:rPr>
          <w:rFonts w:ascii="Arial" w:cs="Arial" w:eastAsia="Arial" w:hAnsi="Arial"/>
          <w:sz w:val="15"/>
          <w:szCs w:val="15"/>
          <w:color w:val="auto"/>
        </w:rPr>
      </w:pPr>
      <w:r>
        <w:rPr>
          <w:rFonts w:ascii="Arial" w:cs="Arial" w:eastAsia="Arial" w:hAnsi="Arial"/>
          <w:sz w:val="15"/>
          <w:szCs w:val="15"/>
          <w:color w:val="auto"/>
        </w:rPr>
        <w:t>any other events of default or covenants with respect to the Securities of such series in addition to or in lieu of those contained in this Indenture;</w:t>
      </w:r>
    </w:p>
    <w:p>
      <w:pPr>
        <w:spacing w:after="0" w:line="224" w:lineRule="exact"/>
        <w:rPr>
          <w:rFonts w:ascii="Arial" w:cs="Arial" w:eastAsia="Arial" w:hAnsi="Arial"/>
          <w:sz w:val="15"/>
          <w:szCs w:val="15"/>
          <w:color w:val="auto"/>
        </w:rPr>
      </w:pPr>
    </w:p>
    <w:p>
      <w:pPr>
        <w:ind w:left="1660" w:hanging="470"/>
        <w:spacing w:after="0"/>
        <w:tabs>
          <w:tab w:leader="none" w:pos="1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extent to which payments on the Securities will be subordinated to the payment of Senior Indebtedness of the Issuer; and</w:t>
      </w:r>
    </w:p>
    <w:p>
      <w:pPr>
        <w:spacing w:after="0" w:line="201" w:lineRule="exact"/>
        <w:rPr>
          <w:rFonts w:ascii="Arial" w:cs="Arial" w:eastAsia="Arial" w:hAnsi="Arial"/>
          <w:sz w:val="17"/>
          <w:szCs w:val="17"/>
          <w:color w:val="auto"/>
        </w:rPr>
      </w:pPr>
    </w:p>
    <w:p>
      <w:pPr>
        <w:ind w:left="1680" w:hanging="490"/>
        <w:spacing w:after="0"/>
        <w:tabs>
          <w:tab w:leader="none" w:pos="16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any other terms of the series.</w:t>
      </w:r>
    </w:p>
    <w:p>
      <w:pPr>
        <w:spacing w:after="0" w:line="201" w:lineRule="exact"/>
        <w:rPr>
          <w:sz w:val="20"/>
          <w:szCs w:val="20"/>
          <w:color w:val="auto"/>
        </w:rPr>
      </w:pPr>
    </w:p>
    <w:p>
      <w:pPr>
        <w:ind w:firstLine="595"/>
        <w:spacing w:after="0" w:line="293" w:lineRule="auto"/>
        <w:rPr>
          <w:sz w:val="20"/>
          <w:szCs w:val="20"/>
          <w:color w:val="auto"/>
        </w:rPr>
      </w:pPr>
      <w:r>
        <w:rPr>
          <w:rFonts w:ascii="Arial" w:cs="Arial" w:eastAsia="Arial" w:hAnsi="Arial"/>
          <w:sz w:val="15"/>
          <w:szCs w:val="15"/>
          <w:color w:val="auto"/>
        </w:rPr>
        <w:t>The Issuer may from time to time, without notice to or the consent of the holders of any series of Securities, create and issue further Securities of any such series ranking equally with the Securities of such series in all respects (or in all respects other than (1) the payment of interest accruing prior to the issue date of such further Securities or (2) the first payment of interest following the issue date of such further Securities). Such further Securities may be consolidated and form a single series with the Securities of such series and have the same terms as to status, redemption or otherwise as the Securities of such series.</w:t>
      </w:r>
    </w:p>
    <w:p>
      <w:pPr>
        <w:spacing w:after="0" w:line="150" w:lineRule="exact"/>
        <w:rPr>
          <w:sz w:val="20"/>
          <w:szCs w:val="20"/>
          <w:color w:val="auto"/>
        </w:rPr>
      </w:pPr>
    </w:p>
    <w:p>
      <w:pPr>
        <w:ind w:right="140" w:firstLine="595"/>
        <w:spacing w:after="0" w:line="283" w:lineRule="auto"/>
        <w:rPr>
          <w:sz w:val="20"/>
          <w:szCs w:val="20"/>
          <w:color w:val="auto"/>
        </w:rPr>
      </w:pPr>
      <w:r>
        <w:rPr>
          <w:rFonts w:ascii="Arial" w:cs="Arial" w:eastAsia="Arial" w:hAnsi="Arial"/>
          <w:sz w:val="15"/>
          <w:szCs w:val="15"/>
          <w:color w:val="auto"/>
        </w:rPr>
        <w:t xml:space="preserve">Section 2.04 </w:t>
      </w:r>
      <w:r>
        <w:rPr>
          <w:rFonts w:ascii="Arial" w:cs="Arial" w:eastAsia="Arial" w:hAnsi="Arial"/>
          <w:sz w:val="15"/>
          <w:szCs w:val="15"/>
          <w:i w:val="1"/>
          <w:iCs w:val="1"/>
          <w:color w:val="auto"/>
        </w:rPr>
        <w:t>Authentication and Delivery of Securities.</w:t>
      </w:r>
      <w:r>
        <w:rPr>
          <w:rFonts w:ascii="Arial" w:cs="Arial" w:eastAsia="Arial" w:hAnsi="Arial"/>
          <w:sz w:val="15"/>
          <w:szCs w:val="15"/>
          <w:color w:val="auto"/>
        </w:rPr>
        <w:t xml:space="preserve"> The Issuer may deliver Securities of any series executed by the Issuer to the Trustee for authentication together with the applicable documents referred to below in this Section, and the Trustee shall thereupon authenticate and deliver such Securities to or upon the order of the Issuer (contained in the Issuer Order referred to below in this Section) or pursuant to such procedures acceptable to the Trustee and to such recipients as may be specified from time to time by an Issuer Order. The maturity date, original issue date, interest rate and any other terms of the Securities of such series shall be determined by or pursuant to such Issuer Order and procedures. If provided for in such procedures, such Issuer Order may authorize authentication and delivery pursuant to oral instructions from the Issuer or its duly authorized agent, which instructions shall be promptly confirmed in writing. In authenticating such Securities and accepting the additional responsibilities under this Indenture in relation to such Securities, the Trustee shall be entitled to receive, and (subject to Section 6.01) shall be fully protected in relying upon:</w:t>
      </w:r>
    </w:p>
    <w:p>
      <w:pPr>
        <w:spacing w:after="0" w:line="159" w:lineRule="exact"/>
        <w:rPr>
          <w:sz w:val="20"/>
          <w:szCs w:val="20"/>
          <w:color w:val="auto"/>
        </w:rPr>
      </w:pPr>
    </w:p>
    <w:p>
      <w:pPr>
        <w:ind w:left="2000" w:hanging="810"/>
        <w:spacing w:after="0"/>
        <w:tabs>
          <w:tab w:leader="none" w:pos="2000" w:val="left"/>
        </w:tabs>
        <w:numPr>
          <w:ilvl w:val="0"/>
          <w:numId w:val="79"/>
        </w:numPr>
        <w:rPr>
          <w:rFonts w:ascii="Arial" w:cs="Arial" w:eastAsia="Arial" w:hAnsi="Arial"/>
          <w:sz w:val="15"/>
          <w:szCs w:val="15"/>
          <w:color w:val="auto"/>
        </w:rPr>
      </w:pPr>
      <w:r>
        <w:rPr>
          <w:rFonts w:ascii="Arial" w:cs="Arial" w:eastAsia="Arial" w:hAnsi="Arial"/>
          <w:sz w:val="15"/>
          <w:szCs w:val="15"/>
          <w:color w:val="auto"/>
        </w:rPr>
        <w:t>an Issuer Order requesting such authentication and setting forth delivery instructions if the Securities are not to be delivered to the Issuer;</w:t>
      </w:r>
    </w:p>
    <w:p>
      <w:pPr>
        <w:spacing w:after="0" w:line="224" w:lineRule="exact"/>
        <w:rPr>
          <w:rFonts w:ascii="Arial" w:cs="Arial" w:eastAsia="Arial" w:hAnsi="Arial"/>
          <w:sz w:val="15"/>
          <w:szCs w:val="15"/>
          <w:color w:val="auto"/>
        </w:rPr>
      </w:pPr>
    </w:p>
    <w:p>
      <w:pPr>
        <w:ind w:right="60" w:firstLine="1190"/>
        <w:spacing w:after="0" w:line="260" w:lineRule="auto"/>
        <w:tabs>
          <w:tab w:leader="none" w:pos="2003" w:val="left"/>
        </w:tabs>
        <w:numPr>
          <w:ilvl w:val="0"/>
          <w:numId w:val="79"/>
        </w:numPr>
        <w:rPr>
          <w:rFonts w:ascii="Arial" w:cs="Arial" w:eastAsia="Arial" w:hAnsi="Arial"/>
          <w:sz w:val="17"/>
          <w:szCs w:val="17"/>
          <w:color w:val="auto"/>
        </w:rPr>
      </w:pPr>
      <w:r>
        <w:rPr>
          <w:rFonts w:ascii="Arial" w:cs="Arial" w:eastAsia="Arial" w:hAnsi="Arial"/>
          <w:sz w:val="17"/>
          <w:szCs w:val="17"/>
          <w:color w:val="auto"/>
        </w:rPr>
        <w:t>any Board Resolution, Officer’s Certificate and/or executed supplemental indenture referred to in Sections 2.01 and 2.03 by or pursuant to which the forms and terms of the Securities were established;</w:t>
      </w:r>
    </w:p>
    <w:p>
      <w:pPr>
        <w:spacing w:after="0" w:line="171" w:lineRule="exact"/>
        <w:rPr>
          <w:rFonts w:ascii="Arial" w:cs="Arial" w:eastAsia="Arial" w:hAnsi="Arial"/>
          <w:sz w:val="17"/>
          <w:szCs w:val="17"/>
          <w:color w:val="auto"/>
        </w:rPr>
      </w:pPr>
    </w:p>
    <w:p>
      <w:pPr>
        <w:ind w:right="60" w:firstLine="1190"/>
        <w:spacing w:after="0" w:line="327" w:lineRule="auto"/>
        <w:tabs>
          <w:tab w:leader="none" w:pos="1994" w:val="left"/>
        </w:tabs>
        <w:numPr>
          <w:ilvl w:val="0"/>
          <w:numId w:val="79"/>
        </w:numPr>
        <w:rPr>
          <w:rFonts w:ascii="Arial" w:cs="Arial" w:eastAsia="Arial" w:hAnsi="Arial"/>
          <w:sz w:val="15"/>
          <w:szCs w:val="15"/>
          <w:color w:val="auto"/>
        </w:rPr>
      </w:pPr>
      <w:r>
        <w:rPr>
          <w:rFonts w:ascii="Arial" w:cs="Arial" w:eastAsia="Arial" w:hAnsi="Arial"/>
          <w:sz w:val="15"/>
          <w:szCs w:val="15"/>
          <w:color w:val="auto"/>
        </w:rPr>
        <w:t>an Officer’s Certificate setting forth the form or forms and terms of the Securities stating that the form or forms and terms of the Securities have been established pursuant to Sections 2.01 and 2.03 and comply with this Indenture, and covering such other matters as the Trustee may reasonably request; and</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1">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20"/>
          </w:cols>
          <w:pgMar w:left="320" w:top="846" w:right="359" w:bottom="1440" w:gutter="0" w:footer="0" w:header="0"/>
        </w:sectPr>
      </w:pPr>
    </w:p>
    <w:bookmarkStart w:id="117" w:name="page118"/>
    <w:bookmarkEnd w:id="117"/>
    <w:p>
      <w:pPr>
        <w:ind w:left="2000" w:hanging="810"/>
        <w:spacing w:after="0"/>
        <w:tabs>
          <w:tab w:leader="none" w:pos="20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an Opinion of Counsel to the effect that:</w:t>
      </w:r>
    </w:p>
    <w:p>
      <w:pPr>
        <w:spacing w:after="0" w:line="201" w:lineRule="exact"/>
        <w:rPr>
          <w:rFonts w:ascii="Arial" w:cs="Arial" w:eastAsia="Arial" w:hAnsi="Arial"/>
          <w:sz w:val="17"/>
          <w:szCs w:val="17"/>
          <w:color w:val="auto"/>
        </w:rPr>
      </w:pPr>
    </w:p>
    <w:p>
      <w:pPr>
        <w:ind w:left="2640" w:hanging="855"/>
        <w:spacing w:after="0"/>
        <w:tabs>
          <w:tab w:leader="none" w:pos="2640" w:val="left"/>
        </w:tabs>
        <w:numPr>
          <w:ilvl w:val="1"/>
          <w:numId w:val="80"/>
        </w:numPr>
        <w:rPr>
          <w:rFonts w:ascii="Arial" w:cs="Arial" w:eastAsia="Arial" w:hAnsi="Arial"/>
          <w:sz w:val="15"/>
          <w:szCs w:val="15"/>
          <w:color w:val="auto"/>
        </w:rPr>
      </w:pPr>
      <w:r>
        <w:rPr>
          <w:rFonts w:ascii="Arial" w:cs="Arial" w:eastAsia="Arial" w:hAnsi="Arial"/>
          <w:sz w:val="15"/>
          <w:szCs w:val="15"/>
          <w:color w:val="auto"/>
        </w:rPr>
        <w:t>the form or forms and terms of such Securities have been established pursuant to Sections 2.01 and 2.03 and comply with this</w:t>
      </w:r>
    </w:p>
    <w:p>
      <w:pPr>
        <w:spacing w:after="0" w:line="36" w:lineRule="exact"/>
        <w:rPr>
          <w:rFonts w:ascii="Arial" w:cs="Arial" w:eastAsia="Arial" w:hAnsi="Arial"/>
          <w:sz w:val="15"/>
          <w:szCs w:val="15"/>
          <w:color w:val="auto"/>
        </w:rPr>
      </w:pPr>
    </w:p>
    <w:p>
      <w:pPr>
        <w:ind w:left="1200"/>
        <w:spacing w:after="0"/>
        <w:rPr>
          <w:rFonts w:ascii="Arial" w:cs="Arial" w:eastAsia="Arial" w:hAnsi="Arial"/>
          <w:sz w:val="15"/>
          <w:szCs w:val="15"/>
          <w:color w:val="auto"/>
        </w:rPr>
      </w:pPr>
      <w:r>
        <w:rPr>
          <w:rFonts w:ascii="Arial" w:cs="Arial" w:eastAsia="Arial" w:hAnsi="Arial"/>
          <w:sz w:val="17"/>
          <w:szCs w:val="17"/>
          <w:color w:val="auto"/>
        </w:rPr>
        <w:t>Indenture,</w:t>
      </w:r>
    </w:p>
    <w:p>
      <w:pPr>
        <w:spacing w:after="0" w:line="190" w:lineRule="exact"/>
        <w:rPr>
          <w:rFonts w:ascii="Arial" w:cs="Arial" w:eastAsia="Arial" w:hAnsi="Arial"/>
          <w:sz w:val="15"/>
          <w:szCs w:val="15"/>
          <w:color w:val="auto"/>
        </w:rPr>
      </w:pPr>
    </w:p>
    <w:p>
      <w:pPr>
        <w:ind w:left="2560" w:hanging="775"/>
        <w:spacing w:after="0"/>
        <w:tabs>
          <w:tab w:leader="none" w:pos="2560" w:val="left"/>
        </w:tabs>
        <w:numPr>
          <w:ilvl w:val="1"/>
          <w:numId w:val="80"/>
        </w:numPr>
        <w:rPr>
          <w:rFonts w:ascii="Arial" w:cs="Arial" w:eastAsia="Arial" w:hAnsi="Arial"/>
          <w:sz w:val="15"/>
          <w:szCs w:val="15"/>
          <w:color w:val="auto"/>
        </w:rPr>
      </w:pPr>
      <w:r>
        <w:rPr>
          <w:rFonts w:ascii="Arial" w:cs="Arial" w:eastAsia="Arial" w:hAnsi="Arial"/>
          <w:sz w:val="15"/>
          <w:szCs w:val="15"/>
          <w:color w:val="auto"/>
        </w:rPr>
        <w:t>the authentication and delivery of such Securities by the Trustee are authorized under the provisions of this Indenture, and</w:t>
      </w:r>
    </w:p>
    <w:p>
      <w:pPr>
        <w:spacing w:after="0" w:line="224" w:lineRule="exact"/>
        <w:rPr>
          <w:rFonts w:ascii="Arial" w:cs="Arial" w:eastAsia="Arial" w:hAnsi="Arial"/>
          <w:sz w:val="15"/>
          <w:szCs w:val="15"/>
          <w:color w:val="auto"/>
        </w:rPr>
      </w:pPr>
    </w:p>
    <w:p>
      <w:pPr>
        <w:ind w:left="1200" w:right="660" w:firstLine="585"/>
        <w:spacing w:after="0" w:line="260" w:lineRule="auto"/>
        <w:tabs>
          <w:tab w:leader="none" w:pos="2539" w:val="left"/>
        </w:tabs>
        <w:numPr>
          <w:ilvl w:val="1"/>
          <w:numId w:val="80"/>
        </w:numPr>
        <w:rPr>
          <w:rFonts w:ascii="Arial" w:cs="Arial" w:eastAsia="Arial" w:hAnsi="Arial"/>
          <w:sz w:val="17"/>
          <w:szCs w:val="17"/>
          <w:color w:val="auto"/>
        </w:rPr>
      </w:pPr>
      <w:r>
        <w:rPr>
          <w:rFonts w:ascii="Arial" w:cs="Arial" w:eastAsia="Arial" w:hAnsi="Arial"/>
          <w:sz w:val="17"/>
          <w:szCs w:val="17"/>
          <w:color w:val="auto"/>
        </w:rPr>
        <w:t>such Securities when authenticated and delivered by the Trustee and issued by the Issuer in the manner and subject to any conditions specified in such Opinion of Counsel, will constitute valid and binding obligations of the Issuer,</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and covering such other matters as the Trustee may reasonably request.</w:t>
      </w:r>
    </w:p>
    <w:p>
      <w:pPr>
        <w:spacing w:after="0" w:line="201" w:lineRule="exact"/>
        <w:rPr>
          <w:sz w:val="20"/>
          <w:szCs w:val="20"/>
          <w:color w:val="auto"/>
        </w:rPr>
      </w:pPr>
    </w:p>
    <w:p>
      <w:pPr>
        <w:ind w:right="60" w:firstLine="595"/>
        <w:spacing w:after="0" w:line="293" w:lineRule="auto"/>
        <w:rPr>
          <w:sz w:val="20"/>
          <w:szCs w:val="20"/>
          <w:color w:val="auto"/>
        </w:rPr>
      </w:pPr>
      <w:r>
        <w:rPr>
          <w:rFonts w:ascii="Arial" w:cs="Arial" w:eastAsia="Arial" w:hAnsi="Arial"/>
          <w:sz w:val="15"/>
          <w:szCs w:val="15"/>
          <w:color w:val="auto"/>
        </w:rPr>
        <w:t>The Trustee shall have the right to decline to authenticate and deliver any Securities under this Section if the Trustee, being advised by counsel, determines that such action may not lawfully be taken by the Issuer or if the Trustee in good faith by its board of directors or board of trustees, executive committee, or a trust committee of directors or trustees or Responsible Officers shall determine that such action would expose the Trustee to personal liability to existing Holders or would affect the Trustee’s own rights, duties or immunities under the Securities, this Indenture or otherwise.</w:t>
      </w:r>
    </w:p>
    <w:p>
      <w:pPr>
        <w:spacing w:after="0" w:line="150" w:lineRule="exact"/>
        <w:rPr>
          <w:sz w:val="20"/>
          <w:szCs w:val="20"/>
          <w:color w:val="auto"/>
        </w:rPr>
      </w:pPr>
    </w:p>
    <w:p>
      <w:pPr>
        <w:ind w:firstLine="595"/>
        <w:spacing w:after="0" w:line="293" w:lineRule="auto"/>
        <w:rPr>
          <w:sz w:val="20"/>
          <w:szCs w:val="20"/>
          <w:color w:val="auto"/>
        </w:rPr>
      </w:pPr>
      <w:r>
        <w:rPr>
          <w:rFonts w:ascii="Arial" w:cs="Arial" w:eastAsia="Arial" w:hAnsi="Arial"/>
          <w:sz w:val="15"/>
          <w:szCs w:val="15"/>
          <w:color w:val="auto"/>
        </w:rPr>
        <w:t>The Issuer shall execute and the Trustee shall, in accordance with this Section with respect to the Securities of a series, authenticate and deliver one or more Global Securities that (i) shall represent and shall be denominated in an amount equal to the aggregate principal amount of all of the Securities of such series issued and not yet cancelled, (ii) shall be registered in the name of the Depositary for such Global Security or Securities or the nominee of such Depositary, (iii) shall be delivered by the Trustee to such Depositary or pursuant to such Depositary’s instructions and (iv) shall bear a legend substantially to the following effect:</w:t>
      </w:r>
    </w:p>
    <w:p>
      <w:pPr>
        <w:spacing w:after="0" w:line="150" w:lineRule="exact"/>
        <w:rPr>
          <w:sz w:val="20"/>
          <w:szCs w:val="20"/>
          <w:color w:val="auto"/>
        </w:rPr>
      </w:pPr>
    </w:p>
    <w:p>
      <w:pPr>
        <w:ind w:right="400" w:firstLine="595"/>
        <w:spacing w:after="0" w:line="249"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81" w:lineRule="exact"/>
        <w:rPr>
          <w:sz w:val="20"/>
          <w:szCs w:val="20"/>
          <w:color w:val="auto"/>
        </w:rPr>
      </w:pPr>
    </w:p>
    <w:p>
      <w:pPr>
        <w:ind w:right="460" w:firstLine="595"/>
        <w:spacing w:after="0" w:line="260" w:lineRule="auto"/>
        <w:rPr>
          <w:sz w:val="20"/>
          <w:szCs w:val="20"/>
          <w:color w:val="auto"/>
        </w:rPr>
      </w:pPr>
      <w:r>
        <w:rPr>
          <w:rFonts w:ascii="Arial" w:cs="Arial" w:eastAsia="Arial" w:hAnsi="Arial"/>
          <w:sz w:val="17"/>
          <w:szCs w:val="17"/>
          <w:color w:val="auto"/>
        </w:rPr>
        <w:t>Each Depositary designated pursuant to this Section must, at the time of its designation and at all times while it serves as Depositary, be a clearing agency registered under the Securities Exchange Act of 1934, as amended and any other applicable statute or regulation.</w:t>
      </w:r>
    </w:p>
    <w:p>
      <w:pPr>
        <w:spacing w:after="0" w:line="172" w:lineRule="exact"/>
        <w:rPr>
          <w:sz w:val="20"/>
          <w:szCs w:val="20"/>
          <w:color w:val="auto"/>
        </w:rPr>
      </w:pPr>
    </w:p>
    <w:p>
      <w:pPr>
        <w:ind w:right="160" w:firstLine="595"/>
        <w:spacing w:after="0" w:line="293" w:lineRule="auto"/>
        <w:rPr>
          <w:sz w:val="20"/>
          <w:szCs w:val="20"/>
          <w:color w:val="auto"/>
        </w:rPr>
      </w:pPr>
      <w:r>
        <w:rPr>
          <w:rFonts w:ascii="Arial" w:cs="Arial" w:eastAsia="Arial" w:hAnsi="Arial"/>
          <w:sz w:val="15"/>
          <w:szCs w:val="15"/>
          <w:color w:val="auto"/>
        </w:rPr>
        <w:t xml:space="preserve">Section 2.05 </w:t>
      </w:r>
      <w:r>
        <w:rPr>
          <w:rFonts w:ascii="Arial" w:cs="Arial" w:eastAsia="Arial" w:hAnsi="Arial"/>
          <w:sz w:val="15"/>
          <w:szCs w:val="15"/>
          <w:i w:val="1"/>
          <w:iCs w:val="1"/>
          <w:color w:val="auto"/>
        </w:rPr>
        <w:t>Execution of Securities</w:t>
      </w:r>
      <w:r>
        <w:rPr>
          <w:rFonts w:ascii="Arial" w:cs="Arial" w:eastAsia="Arial" w:hAnsi="Arial"/>
          <w:sz w:val="15"/>
          <w:szCs w:val="15"/>
          <w:color w:val="auto"/>
        </w:rPr>
        <w:t>. The Securities shall be signed on behalf of the Issuer by the chairman of its Board of Directors, any vice chairman of its Board of Directors, its chief executive officer, its principal financial officer, its president, any vice president or its treasurer. Such signatures may be the manual or facsimile signatures of the present or any future such officers. Typographical and other minor errors or defects in any such reproduction of any such signature shall not affect the validity or enforceability of any Security that has been duly authenticated and delivered by the Trustee.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2">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18" w:name="page119"/>
    <w:bookmarkEnd w:id="118"/>
    <w:p>
      <w:pPr>
        <w:ind w:firstLine="595"/>
        <w:spacing w:after="0" w:line="319" w:lineRule="auto"/>
        <w:rPr>
          <w:sz w:val="20"/>
          <w:szCs w:val="20"/>
          <w:color w:val="auto"/>
        </w:rPr>
      </w:pPr>
      <w:r>
        <w:rPr>
          <w:rFonts w:ascii="Arial" w:cs="Arial" w:eastAsia="Arial" w:hAnsi="Arial"/>
          <w:sz w:val="14"/>
          <w:szCs w:val="14"/>
          <w:color w:val="auto"/>
        </w:rPr>
        <w:t>In case any officer of the Issuer who shall have signed any of the Securities shall cease to be such officer before the Security so signed shall be authenticated and delivered by the Trustee or disposed of by the Issuer, such Security nevertheless may be authenticated and delivered or disposed of as though the person who signed such Security had not ceased to be such officer of the Issuer; and any Security may be signed on behalf of the Issuer by such persons as, at the actual date of the execution of such Security, shall be the proper officers of the Issuer, although at the date of the execution and delivery of this Indenture any such person was not such an officer.</w:t>
      </w:r>
    </w:p>
    <w:p>
      <w:pPr>
        <w:spacing w:after="0" w:line="136" w:lineRule="exact"/>
        <w:rPr>
          <w:sz w:val="20"/>
          <w:szCs w:val="20"/>
          <w:color w:val="auto"/>
        </w:rPr>
      </w:pPr>
    </w:p>
    <w:p>
      <w:pPr>
        <w:ind w:firstLine="595"/>
        <w:spacing w:after="0" w:line="293" w:lineRule="auto"/>
        <w:rPr>
          <w:sz w:val="20"/>
          <w:szCs w:val="20"/>
          <w:color w:val="auto"/>
        </w:rPr>
      </w:pPr>
      <w:r>
        <w:rPr>
          <w:rFonts w:ascii="Arial" w:cs="Arial" w:eastAsia="Arial" w:hAnsi="Arial"/>
          <w:sz w:val="15"/>
          <w:szCs w:val="15"/>
          <w:color w:val="auto"/>
        </w:rPr>
        <w:t xml:space="preserve">Section 2.06 </w:t>
      </w:r>
      <w:r>
        <w:rPr>
          <w:rFonts w:ascii="Arial" w:cs="Arial" w:eastAsia="Arial" w:hAnsi="Arial"/>
          <w:sz w:val="15"/>
          <w:szCs w:val="15"/>
          <w:i w:val="1"/>
          <w:iCs w:val="1"/>
          <w:color w:val="auto"/>
        </w:rPr>
        <w:t>Certificate of Authentication</w:t>
      </w:r>
      <w:r>
        <w:rPr>
          <w:rFonts w:ascii="Arial" w:cs="Arial" w:eastAsia="Arial" w:hAnsi="Arial"/>
          <w:sz w:val="15"/>
          <w:szCs w:val="15"/>
          <w:color w:val="auto"/>
        </w:rPr>
        <w:t>. Only such Securities as shall bear thereon a certificate of authentication substantially in the form hereinbefore recited, executed by the Trustee by the manual signature of one of its authorized officers, shall be entitled to the benefits of this Indenture or be valid or obligatory for any purpose. The execution of such certificate by the Trustee upon any Security executed by the Issuer shall be conclusive evidence that the Security so authenticated has been duly authenticated and delivered hereunder and that the Holder is entitled to the benefits of this Indenture.</w:t>
      </w:r>
    </w:p>
    <w:p>
      <w:pPr>
        <w:spacing w:after="0" w:line="150" w:lineRule="exact"/>
        <w:rPr>
          <w:sz w:val="20"/>
          <w:szCs w:val="20"/>
          <w:color w:val="auto"/>
        </w:rPr>
      </w:pPr>
    </w:p>
    <w:p>
      <w:pPr>
        <w:ind w:right="140" w:firstLine="595"/>
        <w:spacing w:after="0" w:line="288" w:lineRule="auto"/>
        <w:rPr>
          <w:sz w:val="20"/>
          <w:szCs w:val="20"/>
          <w:color w:val="auto"/>
        </w:rPr>
      </w:pPr>
      <w:r>
        <w:rPr>
          <w:rFonts w:ascii="Arial" w:cs="Arial" w:eastAsia="Arial" w:hAnsi="Arial"/>
          <w:sz w:val="15"/>
          <w:szCs w:val="15"/>
          <w:color w:val="auto"/>
        </w:rPr>
        <w:t xml:space="preserve">Section 2.07 </w:t>
      </w:r>
      <w:r>
        <w:rPr>
          <w:rFonts w:ascii="Arial" w:cs="Arial" w:eastAsia="Arial" w:hAnsi="Arial"/>
          <w:sz w:val="15"/>
          <w:szCs w:val="15"/>
          <w:i w:val="1"/>
          <w:iCs w:val="1"/>
          <w:color w:val="auto"/>
        </w:rPr>
        <w:t>Denomination and Date of Securities; Payments of Interest</w:t>
      </w:r>
      <w:r>
        <w:rPr>
          <w:rFonts w:ascii="Arial" w:cs="Arial" w:eastAsia="Arial" w:hAnsi="Arial"/>
          <w:sz w:val="15"/>
          <w:szCs w:val="15"/>
          <w:color w:val="auto"/>
        </w:rPr>
        <w:t>. The Securities of each series shall be issuable in denominations established as contemplated by Section 2.03 or, if not so established, in denominations of $1,000 or multiples of $1,000. The Securities of each series shall be numbered, lettered or otherwise distinguished in such manner or in accordance with such plan as the officers of the Issuer executing the same may determine with the approval of the Trustee, as evidenced by the execution and authentication thereof. Unless otherwise indicated in a Board Resolution, Officer’s Certificate or supplemental indenture for a particular series, interest will be calculated on the basis of a 360-day year of twelve 30-day months.</w:t>
      </w:r>
    </w:p>
    <w:p>
      <w:pPr>
        <w:spacing w:after="0" w:line="156" w:lineRule="exact"/>
        <w:rPr>
          <w:sz w:val="20"/>
          <w:szCs w:val="20"/>
          <w:color w:val="auto"/>
        </w:rPr>
      </w:pPr>
    </w:p>
    <w:p>
      <w:pPr>
        <w:ind w:right="520" w:firstLine="595"/>
        <w:spacing w:after="0" w:line="260" w:lineRule="auto"/>
        <w:rPr>
          <w:sz w:val="20"/>
          <w:szCs w:val="20"/>
          <w:color w:val="auto"/>
        </w:rPr>
      </w:pPr>
      <w:r>
        <w:rPr>
          <w:rFonts w:ascii="Arial" w:cs="Arial" w:eastAsia="Arial" w:hAnsi="Arial"/>
          <w:sz w:val="17"/>
          <w:szCs w:val="17"/>
          <w:color w:val="auto"/>
        </w:rPr>
        <w:t>Each Security shall be dated the date of its authentication. The Securities of each series shall bear interest, if any, from the date, and such interest shall be payable on the dates, established as contemplated by Section 2.03.</w:t>
      </w:r>
    </w:p>
    <w:p>
      <w:pPr>
        <w:spacing w:after="0" w:line="172" w:lineRule="exact"/>
        <w:rPr>
          <w:sz w:val="20"/>
          <w:szCs w:val="20"/>
          <w:color w:val="auto"/>
        </w:rPr>
      </w:pPr>
    </w:p>
    <w:p>
      <w:pPr>
        <w:ind w:firstLine="595"/>
        <w:spacing w:after="0" w:line="281" w:lineRule="auto"/>
        <w:rPr>
          <w:sz w:val="20"/>
          <w:szCs w:val="20"/>
          <w:color w:val="auto"/>
        </w:rPr>
      </w:pPr>
      <w:r>
        <w:rPr>
          <w:rFonts w:ascii="Arial" w:cs="Arial" w:eastAsia="Arial" w:hAnsi="Arial"/>
          <w:sz w:val="15"/>
          <w:szCs w:val="15"/>
          <w:color w:val="auto"/>
        </w:rPr>
        <w:t>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exchange or conversion of such Security subsequent to the record date and prior to such Interest Payment Date, except if and to the extent the Issuer shall default in the payment of the interest due on such Interest Payment Date for such series, in which case such defaulted interest shall be paid to the Persons in whose names Outstanding Securities for such series are registered at the close of business on a subsequent record date (which shall be not less than five Business Days prior to the date of payment of such defaulted interest) established by notice given by or on behalf of the Issuer to the Holders of Securities not less than 15 days preceding such subsequent record date. The term “record date” as used with respect to any Interest Payment Date (except a date for payment of defaulted interest) for the Securities of any series shall mean the date specified as such in the terms of the Securities of such series established as contemplated by Section 2.03, or, if no such date is so specified, if such Interest Payment Date is the first day of a calendar month, the 15th day of the immediately preceding calendar month or, if such Interest Payment Date is the 15th day of a calendar month, the first day of such calendar month, whether or not such record date is a Business Day.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3">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119" w:name="page120"/>
    <w:bookmarkEnd w:id="119"/>
    <w:p>
      <w:pPr>
        <w:ind w:left="600"/>
        <w:spacing w:after="0"/>
        <w:tabs>
          <w:tab w:leader="none" w:pos="1740" w:val="left"/>
        </w:tabs>
        <w:rPr>
          <w:sz w:val="20"/>
          <w:szCs w:val="20"/>
          <w:color w:val="auto"/>
        </w:rPr>
      </w:pPr>
      <w:r>
        <w:rPr>
          <w:rFonts w:ascii="Arial" w:cs="Arial" w:eastAsia="Arial" w:hAnsi="Arial"/>
          <w:sz w:val="17"/>
          <w:szCs w:val="17"/>
          <w:color w:val="auto"/>
        </w:rPr>
        <w:t>Section 2.08</w:t>
      </w:r>
      <w:r>
        <w:rPr>
          <w:sz w:val="20"/>
          <w:szCs w:val="20"/>
          <w:color w:val="auto"/>
        </w:rPr>
        <w:tab/>
      </w:r>
      <w:r>
        <w:rPr>
          <w:rFonts w:ascii="Arial" w:cs="Arial" w:eastAsia="Arial" w:hAnsi="Arial"/>
          <w:sz w:val="14"/>
          <w:szCs w:val="14"/>
          <w:i w:val="1"/>
          <w:iCs w:val="1"/>
          <w:color w:val="auto"/>
        </w:rPr>
        <w:t>Registration, Transfer and Exchange</w:t>
      </w:r>
      <w:r>
        <w:rPr>
          <w:rFonts w:ascii="Arial" w:cs="Arial" w:eastAsia="Arial" w:hAnsi="Arial"/>
          <w:sz w:val="14"/>
          <w:szCs w:val="14"/>
          <w:color w:val="auto"/>
        </w:rPr>
        <w:t>. The Issuer will keep at each office or agency to be maintained for the purpose as provided in Section</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3.02 for each series of Securities a register or registers in which, subject to such reasonable regulations as it may prescribe, it will provide for the registration of Securities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of such series and the registration of transfer of Securities of such series. Such register shall be in written form in the English language or in any other form capable of</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being converted into such form within a reasonable time. At all reasonable times such register or registers shall be open for inspection by the Trustee.</w:t>
      </w:r>
    </w:p>
    <w:p>
      <w:pPr>
        <w:spacing w:after="0" w:line="191" w:lineRule="exact"/>
        <w:rPr>
          <w:sz w:val="20"/>
          <w:szCs w:val="20"/>
          <w:color w:val="auto"/>
        </w:rPr>
      </w:pPr>
    </w:p>
    <w:p>
      <w:pPr>
        <w:ind w:right="200" w:firstLine="595"/>
        <w:spacing w:after="0" w:line="301" w:lineRule="auto"/>
        <w:rPr>
          <w:sz w:val="20"/>
          <w:szCs w:val="20"/>
          <w:color w:val="auto"/>
        </w:rPr>
      </w:pPr>
      <w:r>
        <w:rPr>
          <w:rFonts w:ascii="Arial" w:cs="Arial" w:eastAsia="Arial" w:hAnsi="Arial"/>
          <w:sz w:val="15"/>
          <w:szCs w:val="15"/>
          <w:color w:val="auto"/>
        </w:rPr>
        <w:t>Upon due presentation for registration of transfer of any Security of any series at any such office or agency to be maintained for the purpose as provided in Section 3.02, the Issuer shall execute and the Trustee shall authenticate and deliver in the name of the transferee or transferees a new Security or Securities of the same series, maturity date, interest rate and original issue date in authorized denominations for a like aggregate principal amount.</w:t>
      </w:r>
    </w:p>
    <w:p>
      <w:pPr>
        <w:spacing w:after="0" w:line="145" w:lineRule="exact"/>
        <w:rPr>
          <w:sz w:val="20"/>
          <w:szCs w:val="20"/>
          <w:color w:val="auto"/>
        </w:rPr>
      </w:pPr>
    </w:p>
    <w:p>
      <w:pPr>
        <w:ind w:firstLine="595"/>
        <w:spacing w:after="0" w:line="286" w:lineRule="auto"/>
        <w:rPr>
          <w:sz w:val="20"/>
          <w:szCs w:val="20"/>
          <w:color w:val="auto"/>
        </w:rPr>
      </w:pPr>
      <w:r>
        <w:rPr>
          <w:rFonts w:ascii="Arial" w:cs="Arial" w:eastAsia="Arial" w:hAnsi="Arial"/>
          <w:sz w:val="15"/>
          <w:szCs w:val="15"/>
          <w:color w:val="auto"/>
        </w:rPr>
        <w:t>At the option of the Holder thereof, Securities of any series (except a Global Security) may be exchanged for a Security or Securities of such series having authorized denominations and an equal aggregate principal amount, upon surrender of such Securities to be exchanged at the agency of the Issuer that shall be maintained for such purpose in accordance with Section 3.02 and upon payment, if the Issuer shall so require, of the charges hereinafter provided. Whenever any Securities are so surrendered for exchange, the Issuer shall execute, and the Trustee shall authenticate and deliver, the Securities which the Holder making the exchange is entitled to receive. All Securities surrendered upon any exchange or transfer provided for in this Indenture shall be promptly cancelled and disposed of by the Trustee and the Trustee will deliver a certificate of disposition thereof to the Issuer.</w:t>
      </w:r>
    </w:p>
    <w:p>
      <w:pPr>
        <w:spacing w:after="0" w:line="156" w:lineRule="exact"/>
        <w:rPr>
          <w:sz w:val="20"/>
          <w:szCs w:val="20"/>
          <w:color w:val="auto"/>
        </w:rPr>
      </w:pPr>
    </w:p>
    <w:p>
      <w:pPr>
        <w:ind w:right="180" w:firstLine="595"/>
        <w:spacing w:after="0" w:line="252" w:lineRule="auto"/>
        <w:rPr>
          <w:sz w:val="20"/>
          <w:szCs w:val="20"/>
          <w:color w:val="auto"/>
        </w:rPr>
      </w:pPr>
      <w:r>
        <w:rPr>
          <w:rFonts w:ascii="Arial" w:cs="Arial" w:eastAsia="Arial" w:hAnsi="Arial"/>
          <w:sz w:val="17"/>
          <w:szCs w:val="17"/>
          <w:color w:val="auto"/>
        </w:rPr>
        <w:t>All Securities presented for registration of transfer, exchange, redemption or payment shall (if so required by the Issuer or the Trustee) be duly endorsed by, or be accompanied by a written instrument or instruments of transfer in form satisfactory to the Issuer and the Trustee duly executed by, the Holder or his or her attorney duly authorized in writing.</w:t>
      </w:r>
    </w:p>
    <w:p>
      <w:pPr>
        <w:spacing w:after="0" w:line="178" w:lineRule="exact"/>
        <w:rPr>
          <w:sz w:val="20"/>
          <w:szCs w:val="20"/>
          <w:color w:val="auto"/>
        </w:rPr>
      </w:pPr>
    </w:p>
    <w:p>
      <w:pPr>
        <w:ind w:right="180" w:firstLine="595"/>
        <w:spacing w:after="0" w:line="260" w:lineRule="auto"/>
        <w:rPr>
          <w:sz w:val="20"/>
          <w:szCs w:val="20"/>
          <w:color w:val="auto"/>
        </w:rPr>
      </w:pPr>
      <w:r>
        <w:rPr>
          <w:rFonts w:ascii="Arial" w:cs="Arial" w:eastAsia="Arial" w:hAnsi="Arial"/>
          <w:sz w:val="17"/>
          <w:szCs w:val="17"/>
          <w:color w:val="auto"/>
        </w:rPr>
        <w:t>The Issuer may require payment of a sum sufficient to cover any stamp or other tax or other governmental charge that may be imposed in connection with any exchange or registration of transfer of Securities. No service charge shall be made for any such transaction.</w:t>
      </w:r>
    </w:p>
    <w:p>
      <w:pPr>
        <w:spacing w:after="0" w:line="172" w:lineRule="exact"/>
        <w:rPr>
          <w:sz w:val="20"/>
          <w:szCs w:val="20"/>
          <w:color w:val="auto"/>
        </w:rPr>
      </w:pPr>
    </w:p>
    <w:p>
      <w:pPr>
        <w:jc w:val="both"/>
        <w:ind w:right="400" w:firstLine="595"/>
        <w:spacing w:after="0" w:line="252" w:lineRule="auto"/>
        <w:rPr>
          <w:sz w:val="20"/>
          <w:szCs w:val="20"/>
          <w:color w:val="auto"/>
        </w:rPr>
      </w:pPr>
      <w:r>
        <w:rPr>
          <w:rFonts w:ascii="Arial" w:cs="Arial" w:eastAsia="Arial" w:hAnsi="Arial"/>
          <w:sz w:val="17"/>
          <w:szCs w:val="17"/>
          <w:color w:val="auto"/>
        </w:rPr>
        <w:t>The Issuer shall not be required to exchange or register a transfer of (a) any Securities of any series for a period of 15 days immediately preceding the first delivery of notice of redemption of Securities of such series to be redeemed or (b) any Securities selected, called or being called for redemption, in whole or in part, except, in the case of any Security to be redeemed in part, the portion thereof not so to be redeemed.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4">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20" w:name="page121"/>
    <w:bookmarkEnd w:id="120"/>
    <w:p>
      <w:pPr>
        <w:ind w:firstLine="595"/>
        <w:spacing w:after="0" w:line="249" w:lineRule="auto"/>
        <w:rPr>
          <w:sz w:val="20"/>
          <w:szCs w:val="20"/>
          <w:color w:val="auto"/>
        </w:rPr>
      </w:pPr>
      <w:r>
        <w:rPr>
          <w:rFonts w:ascii="Arial" w:cs="Arial" w:eastAsia="Arial" w:hAnsi="Arial"/>
          <w:sz w:val="17"/>
          <w:szCs w:val="17"/>
          <w:color w:val="auto"/>
        </w:rPr>
        <w:t>Notwithstanding any other provision of this Section 2.08, unless and until it is exchanged in whole or in part for Securities in definitive registered form, a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181" w:lineRule="exact"/>
        <w:rPr>
          <w:sz w:val="20"/>
          <w:szCs w:val="20"/>
          <w:color w:val="auto"/>
        </w:rPr>
      </w:pPr>
    </w:p>
    <w:p>
      <w:pPr>
        <w:ind w:right="120" w:firstLine="595"/>
        <w:spacing w:after="0" w:line="284" w:lineRule="auto"/>
        <w:rPr>
          <w:sz w:val="20"/>
          <w:szCs w:val="20"/>
          <w:color w:val="auto"/>
        </w:rPr>
      </w:pPr>
      <w:r>
        <w:rPr>
          <w:rFonts w:ascii="Arial" w:cs="Arial" w:eastAsia="Arial" w:hAnsi="Arial"/>
          <w:sz w:val="15"/>
          <w:szCs w:val="15"/>
          <w:color w:val="auto"/>
        </w:rPr>
        <w:t>If at any time the Depositary for the Securities of a series notifies the Issuer that it is unwilling or unable to continue as Depositary for the Securities of such series or if at any time the Depositary for the Securities of a series shall no longer be eligible under Section 2.04, the Issuer shall appoint a successor Depositary with respect to the Securities of such series. If a successor Depositary for the Securities of such series is not appointed by the Issuer within 90 days after the Issuer receives such notice or becomes aware of such ineligibility, the Issuer’s determination pursuant to Section 2.03 that the Securities of such series be represented by a Global Security shall no longer be effective and the Issuer will execute, and the Trustee, upon receipt of an Officer’s Certificate for the authentication and delivery of definitive Securities of such series, will authenticate and deliver, Securities of such series in definitive registered form, in any authorized denominations, in an aggregate principal amount equal to the principal amount of the Global Security or Securities representing the Securities of such series, in exchange for such Global Security or Securities.</w:t>
      </w:r>
    </w:p>
    <w:p>
      <w:pPr>
        <w:spacing w:after="0" w:line="159" w:lineRule="exact"/>
        <w:rPr>
          <w:sz w:val="20"/>
          <w:szCs w:val="20"/>
          <w:color w:val="auto"/>
        </w:rPr>
      </w:pPr>
    </w:p>
    <w:p>
      <w:pPr>
        <w:ind w:right="80" w:firstLine="595"/>
        <w:spacing w:after="0" w:line="247" w:lineRule="auto"/>
        <w:rPr>
          <w:sz w:val="20"/>
          <w:szCs w:val="20"/>
          <w:color w:val="auto"/>
        </w:rPr>
      </w:pPr>
      <w:r>
        <w:rPr>
          <w:rFonts w:ascii="Arial" w:cs="Arial" w:eastAsia="Arial" w:hAnsi="Arial"/>
          <w:sz w:val="17"/>
          <w:szCs w:val="17"/>
          <w:color w:val="auto"/>
        </w:rPr>
        <w:t>The Issuer may at any time and in its sole discretion determine that the Securities of any series issued in the form of one or more Global Securities shall no longer be represented by a Global Security or Securities. In such event the Issuer will execute, and the Trustee, upon receipt of an Officer’s Certificate for the authentication and delivery of definitive Securities of such series, will authenticate and deliver, Securities of such series in definitive registered form, in any authorized denominations, in an aggregate principal amount equal to the principal amount of the Global Security or Securities representing such series, in exchange for such Global Security or Securities.</w:t>
      </w:r>
    </w:p>
    <w:p>
      <w:pPr>
        <w:spacing w:after="0" w:line="185" w:lineRule="exact"/>
        <w:rPr>
          <w:sz w:val="20"/>
          <w:szCs w:val="20"/>
          <w:color w:val="auto"/>
        </w:rPr>
      </w:pPr>
    </w:p>
    <w:p>
      <w:pPr>
        <w:ind w:right="160" w:firstLine="595"/>
        <w:spacing w:after="0" w:line="252" w:lineRule="auto"/>
        <w:rPr>
          <w:sz w:val="20"/>
          <w:szCs w:val="20"/>
          <w:color w:val="auto"/>
        </w:rPr>
      </w:pPr>
      <w:r>
        <w:rPr>
          <w:rFonts w:ascii="Arial" w:cs="Arial" w:eastAsia="Arial" w:hAnsi="Arial"/>
          <w:sz w:val="17"/>
          <w:szCs w:val="17"/>
          <w:color w:val="auto"/>
        </w:rPr>
        <w:t>The Depositary for such Global Security may surrender such Global Security in exchange in whole or in part for Securities of the same series in definitive registered form in accordance with the two preceding paragraphs or on such other terms as are acceptable to the Issuer and such Depositary. Thereupon, the Issuer shall execute, and the Trustee shall authenticate and deliver, without service charge,</w:t>
      </w:r>
    </w:p>
    <w:p>
      <w:pPr>
        <w:spacing w:after="0" w:line="178" w:lineRule="exact"/>
        <w:rPr>
          <w:sz w:val="20"/>
          <w:szCs w:val="20"/>
          <w:color w:val="auto"/>
        </w:rPr>
      </w:pPr>
    </w:p>
    <w:p>
      <w:pPr>
        <w:ind w:left="1200" w:right="200" w:firstLine="585"/>
        <w:spacing w:after="0" w:line="367" w:lineRule="auto"/>
        <w:tabs>
          <w:tab w:leader="none" w:pos="2323" w:val="left"/>
        </w:tabs>
        <w:numPr>
          <w:ilvl w:val="0"/>
          <w:numId w:val="81"/>
        </w:numPr>
        <w:rPr>
          <w:rFonts w:ascii="Arial" w:cs="Arial" w:eastAsia="Arial" w:hAnsi="Arial"/>
          <w:sz w:val="14"/>
          <w:szCs w:val="14"/>
          <w:color w:val="auto"/>
        </w:rPr>
      </w:pPr>
      <w:r>
        <w:rPr>
          <w:rFonts w:ascii="Arial" w:cs="Arial" w:eastAsia="Arial" w:hAnsi="Arial"/>
          <w:sz w:val="14"/>
          <w:szCs w:val="14"/>
          <w:color w:val="auto"/>
        </w:rPr>
        <w:t>to the Person specified by such Depositary a new Security or Securities of the same series, of any authorized denominations as requested by such Person, in an aggregate principal amount equal to and in exchange for such Person’s beneficial interest in the Global Security; and</w:t>
      </w:r>
    </w:p>
    <w:p>
      <w:pPr>
        <w:spacing w:after="0" w:line="102" w:lineRule="exact"/>
        <w:rPr>
          <w:rFonts w:ascii="Arial" w:cs="Arial" w:eastAsia="Arial" w:hAnsi="Arial"/>
          <w:sz w:val="14"/>
          <w:szCs w:val="14"/>
          <w:color w:val="auto"/>
        </w:rPr>
      </w:pPr>
    </w:p>
    <w:p>
      <w:pPr>
        <w:ind w:left="1200" w:right="500" w:firstLine="585"/>
        <w:spacing w:after="0" w:line="327" w:lineRule="auto"/>
        <w:tabs>
          <w:tab w:leader="none" w:pos="2328" w:val="left"/>
        </w:tabs>
        <w:numPr>
          <w:ilvl w:val="0"/>
          <w:numId w:val="81"/>
        </w:numPr>
        <w:rPr>
          <w:rFonts w:ascii="Arial" w:cs="Arial" w:eastAsia="Arial" w:hAnsi="Arial"/>
          <w:sz w:val="15"/>
          <w:szCs w:val="15"/>
          <w:color w:val="auto"/>
        </w:rPr>
      </w:pPr>
      <w:r>
        <w:rPr>
          <w:rFonts w:ascii="Arial" w:cs="Arial" w:eastAsia="Arial" w:hAnsi="Arial"/>
          <w:sz w:val="15"/>
          <w:szCs w:val="15"/>
          <w:color w:val="auto"/>
        </w:rPr>
        <w:t>to such Depositary a new Global Security in a denomination equal to the difference, if any, between the principal amount of the surrendered Global Security and the aggregate principal amount of Securities authenticated and delivered pursuant to clause (i) above.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5">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21" w:name="page122"/>
    <w:bookmarkEnd w:id="121"/>
    <w:p>
      <w:pPr>
        <w:ind w:right="60" w:firstLine="595"/>
        <w:spacing w:after="0" w:line="293" w:lineRule="auto"/>
        <w:rPr>
          <w:sz w:val="20"/>
          <w:szCs w:val="20"/>
          <w:color w:val="auto"/>
        </w:rPr>
      </w:pPr>
      <w:r>
        <w:rPr>
          <w:rFonts w:ascii="Arial" w:cs="Arial" w:eastAsia="Arial" w:hAnsi="Arial"/>
          <w:sz w:val="15"/>
          <w:szCs w:val="15"/>
          <w:color w:val="auto"/>
        </w:rPr>
        <w:t>Upon the exchange of a Global Security for Securities in definitive registered form, in authorized denominations, such Global Security shall be cancelled by the Trustee. Securities in definitive registered form issued in exchange for a Global Security pursuant to this Section 2.08 shall be registered in such names and in such authorized denominations as the Depositary for such Global Security, pursuant to instructions from its direct or indirect participants or otherwise, shall instruct the Trustee. The Trustee shall deliver such Securities to or as directed by the Persons in whose names such Securities are so registered.</w:t>
      </w:r>
    </w:p>
    <w:p>
      <w:pPr>
        <w:spacing w:after="0" w:line="150" w:lineRule="exact"/>
        <w:rPr>
          <w:sz w:val="20"/>
          <w:szCs w:val="20"/>
          <w:color w:val="auto"/>
        </w:rPr>
      </w:pPr>
    </w:p>
    <w:p>
      <w:pPr>
        <w:ind w:right="420" w:firstLine="595"/>
        <w:spacing w:after="0" w:line="260" w:lineRule="auto"/>
        <w:rPr>
          <w:sz w:val="20"/>
          <w:szCs w:val="20"/>
          <w:color w:val="auto"/>
        </w:rPr>
      </w:pPr>
      <w:r>
        <w:rPr>
          <w:rFonts w:ascii="Arial" w:cs="Arial" w:eastAsia="Arial" w:hAnsi="Arial"/>
          <w:sz w:val="17"/>
          <w:szCs w:val="17"/>
          <w:color w:val="auto"/>
        </w:rPr>
        <w:t>All Securities issued upon any transfer or exchange of Securities shall be valid obligations of the Issuer, evidencing the same debt, and entitled to the same benefits under this Indenture, as the Securities surrendered upon such transfer or exchange.</w:t>
      </w:r>
    </w:p>
    <w:p>
      <w:pPr>
        <w:spacing w:after="0" w:line="172" w:lineRule="exact"/>
        <w:rPr>
          <w:sz w:val="20"/>
          <w:szCs w:val="20"/>
          <w:color w:val="auto"/>
        </w:rPr>
      </w:pPr>
    </w:p>
    <w:p>
      <w:pPr>
        <w:ind w:right="60" w:firstLine="595"/>
        <w:spacing w:after="0" w:line="284" w:lineRule="auto"/>
        <w:rPr>
          <w:sz w:val="20"/>
          <w:szCs w:val="20"/>
          <w:color w:val="auto"/>
        </w:rPr>
      </w:pPr>
      <w:r>
        <w:rPr>
          <w:rFonts w:ascii="Arial" w:cs="Arial" w:eastAsia="Arial" w:hAnsi="Arial"/>
          <w:sz w:val="15"/>
          <w:szCs w:val="15"/>
          <w:color w:val="auto"/>
        </w:rPr>
        <w:t xml:space="preserve">Section 2.09 </w:t>
      </w:r>
      <w:r>
        <w:rPr>
          <w:rFonts w:ascii="Arial" w:cs="Arial" w:eastAsia="Arial" w:hAnsi="Arial"/>
          <w:sz w:val="15"/>
          <w:szCs w:val="15"/>
          <w:i w:val="1"/>
          <w:iCs w:val="1"/>
          <w:color w:val="auto"/>
        </w:rPr>
        <w:t>Mutilated, Defaced, Destroyed, Lost and Stolen Securities.</w:t>
      </w:r>
      <w:r>
        <w:rPr>
          <w:rFonts w:ascii="Arial" w:cs="Arial" w:eastAsia="Arial" w:hAnsi="Arial"/>
          <w:sz w:val="15"/>
          <w:szCs w:val="15"/>
          <w:color w:val="auto"/>
        </w:rPr>
        <w:t xml:space="preserve"> In case any temporary or definitive Security shall become mutilated or defaced or be destroyed, lost or stolen, the Issuer in its discretion may execute, and upon the written request of any officer of the Issuer, the Trustee shall authenticate and deliver a new Security of the same series, maturity date, interest rate and original issue date, bearing a number or other distinguishing symbol not contemporaneously outstanding, in exchange and substitution for the mutilated or defaced Security, or in lieu of and substitution for the Security so destroyed, lost or stolen. In every case the applicant for a substitute Security shall furnish to the Issuer and to the Trustee and any agent of the Issuer or the Trustee such security or indemnity as may be required by them to indemnify and defend and to save each of them harmless and, in every case of destruction, loss or theft, evidence to their satisfaction of the destruction, loss or theft of such Security and of the ownership thereof and in the case of mutilation or defacement shall surrender the Security to the Trustee.</w:t>
      </w:r>
    </w:p>
    <w:p>
      <w:pPr>
        <w:spacing w:after="0" w:line="159" w:lineRule="exact"/>
        <w:rPr>
          <w:sz w:val="20"/>
          <w:szCs w:val="20"/>
          <w:color w:val="auto"/>
        </w:rPr>
      </w:pPr>
    </w:p>
    <w:p>
      <w:pPr>
        <w:ind w:right="80" w:firstLine="595"/>
        <w:spacing w:after="0" w:line="283" w:lineRule="auto"/>
        <w:rPr>
          <w:sz w:val="20"/>
          <w:szCs w:val="20"/>
          <w:color w:val="auto"/>
        </w:rPr>
      </w:pPr>
      <w:r>
        <w:rPr>
          <w:rFonts w:ascii="Arial" w:cs="Arial" w:eastAsia="Arial" w:hAnsi="Arial"/>
          <w:sz w:val="15"/>
          <w:szCs w:val="15"/>
          <w:color w:val="auto"/>
        </w:rPr>
        <w:t>Upon the issuance of any substitute Security, the Issuer may require the payment of a sum sufficient to cover any tax or other governmental charge that may be imposed in relation thereto and any other expenses (including the fees and expenses of the Trustee) connected therewith. In case any Security which has matured or is about to mature or has been called for redemption in full, or is being surrendered for conversion in full, shall become mutilated or defaced or be destroyed, lost or stolen, the Issuer may, instead of issuing a substitute Security (with the Holder’s consent, in the case of convertible Securities), pay or authorize the payment of the same or convert, or authorize conversion of the same (without surrender thereof except in the case of a mutilated or defaced Security), if the applicant for such payment shall furnish to the Issuer and to the Trustee and any agent of the Issuer or the Trustee such security or indemnity as any of them may require to save each of them harmless, and, in every case of destruction, loss or theft, the applicant shall also furnish to the Issuer and the Trustee and any agent of the Issuer or the Trustee evidence to their satisfaction of the destruction, loss or theft of such Security and of the ownership thereof.</w:t>
      </w:r>
    </w:p>
    <w:p>
      <w:pPr>
        <w:spacing w:after="0" w:line="159" w:lineRule="exact"/>
        <w:rPr>
          <w:sz w:val="20"/>
          <w:szCs w:val="20"/>
          <w:color w:val="auto"/>
        </w:rPr>
      </w:pPr>
    </w:p>
    <w:p>
      <w:pPr>
        <w:ind w:firstLine="595"/>
        <w:spacing w:after="0" w:line="284" w:lineRule="auto"/>
        <w:rPr>
          <w:sz w:val="20"/>
          <w:szCs w:val="20"/>
          <w:color w:val="auto"/>
        </w:rPr>
      </w:pPr>
      <w:r>
        <w:rPr>
          <w:rFonts w:ascii="Arial" w:cs="Arial" w:eastAsia="Arial" w:hAnsi="Arial"/>
          <w:sz w:val="15"/>
          <w:szCs w:val="15"/>
          <w:color w:val="auto"/>
        </w:rPr>
        <w:t>Every substitute Security of any series issued pursuant to the provisions of this Section by virtue of the fact that any such Security is destroyed, lost or stolen shall constitute an additional contractual obligation of the Issuer, whether or not the destroyed, lost or stolen Security shall be at any time enforceable by anyone and shall be entitled to all the benefits of (but shall be subject to all the limitations of rights set forth in) this Indenture equally and proportionately with any and all other Securities of such series duly authenticated and delivered hereunder. All Securities shall be held and owned upon the express condition that, to the extent permitted by law, the foregoing provisions are exclusive with respect to the replacement or payment or conversion of mutilated, defaced or destroyed, lost or stolen Securities and shall preclude any and all other rights or remedies notwithstanding any law or statute existing or hereafter enacted to the contrary with respect to the replacement or payment of negotiable instruments or other securities without their surrender.</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6">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22" w:name="page123"/>
    <w:bookmarkEnd w:id="122"/>
    <w:p>
      <w:pPr>
        <w:ind w:right="100" w:firstLine="595"/>
        <w:spacing w:after="0" w:line="286" w:lineRule="auto"/>
        <w:rPr>
          <w:sz w:val="20"/>
          <w:szCs w:val="20"/>
          <w:color w:val="auto"/>
        </w:rPr>
      </w:pPr>
      <w:r>
        <w:rPr>
          <w:rFonts w:ascii="Arial" w:cs="Arial" w:eastAsia="Arial" w:hAnsi="Arial"/>
          <w:sz w:val="15"/>
          <w:szCs w:val="15"/>
          <w:color w:val="auto"/>
        </w:rPr>
        <w:t xml:space="preserve">Section 2.10 </w:t>
      </w:r>
      <w:r>
        <w:rPr>
          <w:rFonts w:ascii="Arial" w:cs="Arial" w:eastAsia="Arial" w:hAnsi="Arial"/>
          <w:sz w:val="15"/>
          <w:szCs w:val="15"/>
          <w:i w:val="1"/>
          <w:iCs w:val="1"/>
          <w:color w:val="auto"/>
        </w:rPr>
        <w:t>Cancellation of Securities; Destruction Thereof.</w:t>
      </w:r>
      <w:r>
        <w:rPr>
          <w:rFonts w:ascii="Arial" w:cs="Arial" w:eastAsia="Arial" w:hAnsi="Arial"/>
          <w:sz w:val="15"/>
          <w:szCs w:val="15"/>
          <w:color w:val="auto"/>
        </w:rPr>
        <w:t xml:space="preserve"> All Securities surrendered for exchange for Securities of the same series or for payment, redemption, registration of transfer or conversion or for credit against any payment in respect of a sinking or analogous fund, if surrendered to the Issuer or any agent of the Issuer or the Trustee, shall be delivered to the Trustee for cancellation or, if surrendered to the Trustee, shall be cancelled by it; and no Securities shall be issued in lieu thereof except as expressly permitted by any of the provisions of this Indenture. The Trustee shall dispose of cancelled Securities held by it and deliver a certificate of disposition to the Issuer. If the Issuer shall acquire any of the Securities, such acquisition shall not operate as a redemption or satisfaction of the Debt represented by such Securities unless and until the same are delivered to the Trustee for cancellation.</w:t>
      </w:r>
    </w:p>
    <w:p>
      <w:pPr>
        <w:spacing w:after="0" w:line="156" w:lineRule="exact"/>
        <w:rPr>
          <w:sz w:val="20"/>
          <w:szCs w:val="20"/>
          <w:color w:val="auto"/>
        </w:rPr>
      </w:pPr>
    </w:p>
    <w:p>
      <w:pPr>
        <w:ind w:firstLine="595"/>
        <w:spacing w:after="0" w:line="281" w:lineRule="auto"/>
        <w:rPr>
          <w:sz w:val="20"/>
          <w:szCs w:val="20"/>
          <w:color w:val="auto"/>
        </w:rPr>
      </w:pPr>
      <w:r>
        <w:rPr>
          <w:rFonts w:ascii="Arial" w:cs="Arial" w:eastAsia="Arial" w:hAnsi="Arial"/>
          <w:sz w:val="15"/>
          <w:szCs w:val="15"/>
          <w:color w:val="auto"/>
        </w:rPr>
        <w:t xml:space="preserve">Section 2.11 </w:t>
      </w:r>
      <w:r>
        <w:rPr>
          <w:rFonts w:ascii="Arial" w:cs="Arial" w:eastAsia="Arial" w:hAnsi="Arial"/>
          <w:sz w:val="15"/>
          <w:szCs w:val="15"/>
          <w:i w:val="1"/>
          <w:iCs w:val="1"/>
          <w:color w:val="auto"/>
        </w:rPr>
        <w:t>Temporary Securities.</w:t>
      </w:r>
      <w:r>
        <w:rPr>
          <w:rFonts w:ascii="Arial" w:cs="Arial" w:eastAsia="Arial" w:hAnsi="Arial"/>
          <w:sz w:val="15"/>
          <w:szCs w:val="15"/>
          <w:color w:val="auto"/>
        </w:rPr>
        <w:t xml:space="preserve"> Pending the preparation of definitive Securities for any series, the Issuer may execute and the Trustee shall authenticate and deliver temporary Securities for such series (printed, lithographed, typewritten or otherwise reproduced, in each case in form satisfactory to the Trustee). Temporary Securities of any series shall be issuable in any authorized denomination, and substantially in the form of the definitive Securities of such series but with such omissions, insertions and variations as may be appropriate for temporary Securities, all as may be determined by the Issuer with the concurrence of the Trustee as evidenced by the execution and authentication thereof. Temporary Securities may contain such reference to any provisions of this Indenture as may be appropriate. Every temporary Security shall be executed by the Issuer and be authenticated by the Trustee upon the same conditions and in substantially the same manner, and with like effect, as the definitive Securities. Without unreasonable delay the Issuer shall execute and shall furnish definitive Securities of such series and thereupon temporary Securities of such series may be surrendered in exchange therefor without charge at each office or agency to be maintained by the Issuer for that purpose pursuant to Section 3.02 and the Trustee shall authenticate and deliver in exchange for such temporary Securities of such series an equal aggregate principal amount of definitive Securities of the same series having authorized denominations. Until so exchanged, the temporary Securities of any series shall be entitled to the same benefits under this Indenture as definitive Securities of such series, unless the benefits of the temporary Securities are limited pursuant to Section 2.03.</w:t>
      </w:r>
    </w:p>
    <w:p>
      <w:pPr>
        <w:spacing w:after="0" w:line="160" w:lineRule="exact"/>
        <w:rPr>
          <w:sz w:val="20"/>
          <w:szCs w:val="20"/>
          <w:color w:val="auto"/>
        </w:rPr>
      </w:pPr>
    </w:p>
    <w:p>
      <w:pPr>
        <w:ind w:right="80" w:firstLine="595"/>
        <w:spacing w:after="0" w:line="293" w:lineRule="auto"/>
        <w:rPr>
          <w:sz w:val="20"/>
          <w:szCs w:val="20"/>
          <w:color w:val="auto"/>
        </w:rPr>
      </w:pPr>
      <w:r>
        <w:rPr>
          <w:rFonts w:ascii="Arial" w:cs="Arial" w:eastAsia="Arial" w:hAnsi="Arial"/>
          <w:sz w:val="15"/>
          <w:szCs w:val="15"/>
          <w:color w:val="auto"/>
        </w:rPr>
        <w:t xml:space="preserve">Section 2.12 </w:t>
      </w:r>
      <w:r>
        <w:rPr>
          <w:rFonts w:ascii="Arial" w:cs="Arial" w:eastAsia="Arial" w:hAnsi="Arial"/>
          <w:sz w:val="15"/>
          <w:szCs w:val="15"/>
          <w:i w:val="1"/>
          <w:iCs w:val="1"/>
          <w:color w:val="auto"/>
        </w:rPr>
        <w:t>CUSIP Numbers.</w:t>
      </w:r>
      <w:r>
        <w:rPr>
          <w:rFonts w:ascii="Arial" w:cs="Arial" w:eastAsia="Arial" w:hAnsi="Arial"/>
          <w:sz w:val="15"/>
          <w:szCs w:val="15"/>
          <w:color w:val="auto"/>
        </w:rPr>
        <w:t xml:space="preserve"> The Issuer in issuing the Securities may use “CUSIP” numbers if then generally in use and, if so, the Trustee may use “CUSIP” numbers in notices of redemption as a convenience to Holders. Any such notice may state that no representation is made as to the correctness of such numbers either as printed on the Securities or as contained in any notice of a redemption and that reliance may be placed only on the other identification numbers printed on the Securities. No such redemption shall be affected by any defect in or omission of such numbers.</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7">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20"/>
          </w:cols>
          <w:pgMar w:left="320" w:top="846" w:right="35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7"/>
          <w:szCs w:val="17"/>
          <w:color w:val="auto"/>
        </w:rPr>
        <w:t>ARTICLE 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COVENANTS OF THE ISSUER</w:t>
      </w:r>
    </w:p>
    <w:p>
      <w:pPr>
        <w:spacing w:after="0" w:line="191" w:lineRule="exact"/>
        <w:rPr>
          <w:sz w:val="20"/>
          <w:szCs w:val="20"/>
          <w:color w:val="auto"/>
        </w:rPr>
      </w:pPr>
    </w:p>
    <w:p>
      <w:pPr>
        <w:ind w:right="60" w:firstLine="595"/>
        <w:spacing w:after="0" w:line="247"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i w:val="1"/>
          <w:iCs w:val="1"/>
          <w:color w:val="auto"/>
        </w:rPr>
        <w:t>Payment of Principal and Interest.</w:t>
      </w:r>
      <w:r>
        <w:rPr>
          <w:rFonts w:ascii="Arial" w:cs="Arial" w:eastAsia="Arial" w:hAnsi="Arial"/>
          <w:sz w:val="17"/>
          <w:szCs w:val="17"/>
          <w:color w:val="auto"/>
        </w:rPr>
        <w:t xml:space="preserve"> The Issuer covenants and agrees for the benefit of each series of Securities that it will duly and punctually pay or cause to be paid the principal of, and interest on, each of the Securities of such series (together with any additional amounts payable pursuant to the terms of such Securities) at the place or places, at the respective times and in the manner provided in such Securities and in this Indenture. The interest on Securities (together with any additional amounts payable pursuant to the terms of such Securities) shall be payable only to or upon the written order of the Holders thereof and at the option of the Issuer may be paid by mailing checks for such interest payable to or upon the written order of such Holders at their last addresses as they appear on the Security register of the Issuer.</w:t>
      </w:r>
    </w:p>
    <w:p>
      <w:pPr>
        <w:spacing w:after="0" w:line="182"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color w:val="auto"/>
        </w:rPr>
        <w:t>Section 3.02</w:t>
      </w:r>
      <w:r>
        <w:rPr>
          <w:sz w:val="20"/>
          <w:szCs w:val="20"/>
          <w:color w:val="auto"/>
        </w:rPr>
        <w:tab/>
      </w:r>
      <w:r>
        <w:rPr>
          <w:rFonts w:ascii="Arial" w:cs="Arial" w:eastAsia="Arial" w:hAnsi="Arial"/>
          <w:sz w:val="14"/>
          <w:szCs w:val="14"/>
          <w:i w:val="1"/>
          <w:iCs w:val="1"/>
          <w:color w:val="auto"/>
        </w:rPr>
        <w:t xml:space="preserve">Offices for Payments, Etc. </w:t>
      </w:r>
      <w:r>
        <w:rPr>
          <w:rFonts w:ascii="Arial" w:cs="Arial" w:eastAsia="Arial" w:hAnsi="Arial"/>
          <w:sz w:val="14"/>
          <w:szCs w:val="14"/>
          <w:color w:val="auto"/>
        </w:rPr>
        <w:t>The Issuer will maintain (i) in _______, an agency where the Securities of each series may be presented for</w:t>
      </w:r>
    </w:p>
    <w:p>
      <w:pPr>
        <w:spacing w:after="0" w:line="14" w:lineRule="exact"/>
        <w:rPr>
          <w:sz w:val="20"/>
          <w:szCs w:val="20"/>
          <w:color w:val="auto"/>
        </w:rPr>
      </w:pPr>
    </w:p>
    <w:p>
      <w:pPr>
        <w:jc w:val="both"/>
        <w:ind w:right="100"/>
        <w:spacing w:after="0" w:line="245" w:lineRule="auto"/>
        <w:rPr>
          <w:sz w:val="20"/>
          <w:szCs w:val="20"/>
          <w:color w:val="auto"/>
        </w:rPr>
      </w:pPr>
      <w:r>
        <w:rPr>
          <w:rFonts w:ascii="Arial" w:cs="Arial" w:eastAsia="Arial" w:hAnsi="Arial"/>
          <w:sz w:val="17"/>
          <w:szCs w:val="17"/>
          <w:color w:val="auto"/>
        </w:rPr>
        <w:t>payment, an agency where the Securities of each series may be presented for exchange and conversion, if applicable, as provided in this Indenture and an agency where the Securities of each series may be presented for registration of transfer as in this Indenture provided and (ii) such further agencies in such places as may be determined for the Securities of such series pursuant to Section 2.03.</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Issuer will maintain in __________, an agency where notices and demands to or upon the Issuer in respect of the Securities of any series or this Indenture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may be served.</w:t>
      </w:r>
    </w:p>
    <w:p>
      <w:pPr>
        <w:spacing w:after="0" w:line="191" w:lineRule="exact"/>
        <w:rPr>
          <w:sz w:val="20"/>
          <w:szCs w:val="20"/>
          <w:color w:val="auto"/>
        </w:rPr>
      </w:pPr>
    </w:p>
    <w:p>
      <w:pPr>
        <w:ind w:right="200" w:firstLine="595"/>
        <w:spacing w:after="0" w:line="301" w:lineRule="auto"/>
        <w:rPr>
          <w:sz w:val="20"/>
          <w:szCs w:val="20"/>
          <w:color w:val="auto"/>
        </w:rPr>
      </w:pPr>
      <w:r>
        <w:rPr>
          <w:rFonts w:ascii="Arial" w:cs="Arial" w:eastAsia="Arial" w:hAnsi="Arial"/>
          <w:sz w:val="15"/>
          <w:szCs w:val="15"/>
          <w:color w:val="auto"/>
        </w:rPr>
        <w:t>The Issuer will give to the Trustee written notice of the location of each such agency and of any change of location thereof. In case the Issuer shall fail to maintain any agency required by this Section to be located in __________, or shall fail to give such notice of the location or of any change in the location of any of the above agencies, presentations and demands may be made and notices may be served at the Corporate Trust Office of the Trustee.</w:t>
      </w:r>
    </w:p>
    <w:p>
      <w:pPr>
        <w:spacing w:after="0" w:line="145" w:lineRule="exact"/>
        <w:rPr>
          <w:sz w:val="20"/>
          <w:szCs w:val="20"/>
          <w:color w:val="auto"/>
        </w:rPr>
      </w:pPr>
    </w:p>
    <w:p>
      <w:pPr>
        <w:ind w:firstLine="595"/>
        <w:spacing w:after="0" w:line="288" w:lineRule="auto"/>
        <w:rPr>
          <w:sz w:val="20"/>
          <w:szCs w:val="20"/>
          <w:color w:val="auto"/>
        </w:rPr>
      </w:pPr>
      <w:r>
        <w:rPr>
          <w:rFonts w:ascii="Arial" w:cs="Arial" w:eastAsia="Arial" w:hAnsi="Arial"/>
          <w:sz w:val="15"/>
          <w:szCs w:val="15"/>
          <w:color w:val="auto"/>
        </w:rPr>
        <w:t xml:space="preserve">The Issuer may from time to time designate one or more additional agencies where the Securities of a series may be presented for payment, where the Securities of that series may be presented for exchange or conversion, if applicable, as provided in this Indenture and pursuant to Section 2.03 and where the Securities of that series may be presented for registration of transfer as in this Indenture provided, and the Issuer may from time to time rescind any such designation, as the Issuer may deem desirable or expedient;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no such designation or rescission shall in any manner relieve the Issuer of its obligation to maintain the agencies provided for in this Section. The Issuer will give to the Trustee prompt written notice of any such designation or rescission thereof.</w:t>
      </w:r>
    </w:p>
    <w:p>
      <w:pPr>
        <w:spacing w:after="0" w:line="156" w:lineRule="exact"/>
        <w:rPr>
          <w:sz w:val="20"/>
          <w:szCs w:val="20"/>
          <w:color w:val="auto"/>
        </w:rPr>
      </w:pPr>
    </w:p>
    <w:p>
      <w:pPr>
        <w:ind w:right="420" w:firstLine="595"/>
        <w:spacing w:after="0" w:line="327" w:lineRule="auto"/>
        <w:rPr>
          <w:sz w:val="20"/>
          <w:szCs w:val="20"/>
          <w:color w:val="auto"/>
        </w:rPr>
      </w:pPr>
      <w:r>
        <w:rPr>
          <w:rFonts w:ascii="Arial" w:cs="Arial" w:eastAsia="Arial" w:hAnsi="Arial"/>
          <w:sz w:val="15"/>
          <w:szCs w:val="15"/>
          <w:color w:val="auto"/>
        </w:rPr>
        <w:t xml:space="preserve">Section 3.03 </w:t>
      </w:r>
      <w:r>
        <w:rPr>
          <w:rFonts w:ascii="Arial" w:cs="Arial" w:eastAsia="Arial" w:hAnsi="Arial"/>
          <w:sz w:val="15"/>
          <w:szCs w:val="15"/>
          <w:i w:val="1"/>
          <w:iCs w:val="1"/>
          <w:color w:val="auto"/>
        </w:rPr>
        <w:t>Appointment to Fill a Vacancy in Office of Trustee.</w:t>
      </w:r>
      <w:r>
        <w:rPr>
          <w:rFonts w:ascii="Arial" w:cs="Arial" w:eastAsia="Arial" w:hAnsi="Arial"/>
          <w:sz w:val="15"/>
          <w:szCs w:val="15"/>
          <w:color w:val="auto"/>
        </w:rPr>
        <w:t xml:space="preserve"> The Issuer, whenever necessary to avoid or fill a vacancy in the office of Trustee, will appoint, in the manner provided in Section 6.10, a Trustee, so that there shall at all times be a Trustee with respect to each series of Securities hereunder.</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8">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24" w:name="page125"/>
    <w:bookmarkEnd w:id="124"/>
    <w:p>
      <w:pPr>
        <w:ind w:firstLine="595"/>
        <w:spacing w:after="0" w:line="327" w:lineRule="auto"/>
        <w:rPr>
          <w:sz w:val="20"/>
          <w:szCs w:val="20"/>
          <w:color w:val="auto"/>
        </w:rPr>
      </w:pPr>
      <w:r>
        <w:rPr>
          <w:rFonts w:ascii="Arial" w:cs="Arial" w:eastAsia="Arial" w:hAnsi="Arial"/>
          <w:sz w:val="15"/>
          <w:szCs w:val="15"/>
          <w:color w:val="auto"/>
        </w:rPr>
        <w:t>Section 3.04 Paying Agents. Whenever the Issuer shall appoint a paying agent other than the Trustee with respect to the Securities of any series, it will cause such paying agent to execute and deliver to the Trustee an instrument in which such agent shall agree with the Trustee, subject to the provisions of this Section,</w:t>
      </w:r>
    </w:p>
    <w:p>
      <w:pPr>
        <w:spacing w:after="0" w:line="125" w:lineRule="exact"/>
        <w:rPr>
          <w:sz w:val="20"/>
          <w:szCs w:val="20"/>
          <w:color w:val="auto"/>
        </w:rPr>
      </w:pPr>
    </w:p>
    <w:p>
      <w:pPr>
        <w:ind w:right="100" w:firstLine="1190"/>
        <w:spacing w:after="0" w:line="252" w:lineRule="auto"/>
        <w:tabs>
          <w:tab w:leader="none" w:pos="1746"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that it will hold all sums received by it as such agent for the payment of the principal of or interest on the Securities of such series (whether such sums have been paid to it by the Issuer or by any other obligor on the Securities of such series) in trust for the benefit of the Holders of the Securities of such series or of the Trustee,</w:t>
      </w:r>
    </w:p>
    <w:p>
      <w:pPr>
        <w:spacing w:after="0" w:line="178" w:lineRule="exact"/>
        <w:rPr>
          <w:rFonts w:ascii="Arial" w:cs="Arial" w:eastAsia="Arial" w:hAnsi="Arial"/>
          <w:sz w:val="17"/>
          <w:szCs w:val="17"/>
          <w:color w:val="auto"/>
        </w:rPr>
      </w:pPr>
    </w:p>
    <w:p>
      <w:pPr>
        <w:ind w:right="40" w:firstLine="1190"/>
        <w:spacing w:after="0" w:line="260" w:lineRule="auto"/>
        <w:tabs>
          <w:tab w:leader="none" w:pos="1755"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that it will give the Trustee notice of any failure by the Issuer (or by any other obligor on the Securities of such series) to make any payment of the principal of or interest on the Securities of such series when the same shall be due and payable, and</w:t>
      </w:r>
    </w:p>
    <w:p>
      <w:pPr>
        <w:spacing w:after="0" w:line="171" w:lineRule="exact"/>
        <w:rPr>
          <w:rFonts w:ascii="Arial" w:cs="Arial" w:eastAsia="Arial" w:hAnsi="Arial"/>
          <w:sz w:val="17"/>
          <w:szCs w:val="17"/>
          <w:color w:val="auto"/>
        </w:rPr>
      </w:pPr>
    </w:p>
    <w:p>
      <w:pPr>
        <w:ind w:right="60" w:firstLine="1190"/>
        <w:spacing w:after="0" w:line="260" w:lineRule="auto"/>
        <w:tabs>
          <w:tab w:leader="none" w:pos="1746"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that at any time during the continuance of any such failure, upon the written request of the Trustee, it will forthwith pay to the Trustee all sums so held in trust by such paying agent.</w:t>
      </w:r>
    </w:p>
    <w:p>
      <w:pPr>
        <w:spacing w:after="0" w:line="172" w:lineRule="exact"/>
        <w:rPr>
          <w:sz w:val="20"/>
          <w:szCs w:val="20"/>
          <w:color w:val="auto"/>
        </w:rPr>
      </w:pPr>
    </w:p>
    <w:p>
      <w:pPr>
        <w:ind w:right="160" w:firstLine="595"/>
        <w:spacing w:after="0" w:line="327" w:lineRule="auto"/>
        <w:rPr>
          <w:sz w:val="20"/>
          <w:szCs w:val="20"/>
          <w:color w:val="auto"/>
        </w:rPr>
      </w:pPr>
      <w:r>
        <w:rPr>
          <w:rFonts w:ascii="Arial" w:cs="Arial" w:eastAsia="Arial" w:hAnsi="Arial"/>
          <w:sz w:val="15"/>
          <w:szCs w:val="15"/>
          <w:color w:val="auto"/>
        </w:rPr>
        <w:t>The Issuer will, on or prior to each due date of the principal of or interest on the Securities of such series, deposit with the paying agent a sum sufficient to pay such principal or interest so becoming due, and (unless such paying agent is the Trustee) the Issuer will promptly notify the Trustee of any failure to take such action.</w:t>
      </w:r>
    </w:p>
    <w:p>
      <w:pPr>
        <w:spacing w:after="0" w:line="125" w:lineRule="exact"/>
        <w:rPr>
          <w:sz w:val="20"/>
          <w:szCs w:val="20"/>
          <w:color w:val="auto"/>
        </w:rPr>
      </w:pPr>
    </w:p>
    <w:p>
      <w:pPr>
        <w:ind w:right="160" w:firstLine="595"/>
        <w:spacing w:after="0" w:line="252" w:lineRule="auto"/>
        <w:rPr>
          <w:sz w:val="20"/>
          <w:szCs w:val="20"/>
          <w:color w:val="auto"/>
        </w:rPr>
      </w:pPr>
      <w:r>
        <w:rPr>
          <w:rFonts w:ascii="Arial" w:cs="Arial" w:eastAsia="Arial" w:hAnsi="Arial"/>
          <w:sz w:val="17"/>
          <w:szCs w:val="17"/>
          <w:color w:val="auto"/>
        </w:rPr>
        <w:t>If the Issuer shall act as its own paying agent with respect to the Securities of any series, it will, on or before each due date of the principal of or interest on the Securities of such series, set aside, segregate and hold in trust for the benefit of the Holders of the Securities of such series a sum sufficient to pay such principal or interest so becoming due. The Issuer will promptly notify the Trustee of any failure to take such action.</w:t>
      </w:r>
    </w:p>
    <w:p>
      <w:pPr>
        <w:spacing w:after="0" w:line="178" w:lineRule="exact"/>
        <w:rPr>
          <w:sz w:val="20"/>
          <w:szCs w:val="20"/>
          <w:color w:val="auto"/>
        </w:rPr>
      </w:pPr>
    </w:p>
    <w:p>
      <w:pPr>
        <w:ind w:right="60" w:firstLine="595"/>
        <w:spacing w:after="0" w:line="301" w:lineRule="auto"/>
        <w:rPr>
          <w:sz w:val="20"/>
          <w:szCs w:val="20"/>
          <w:color w:val="auto"/>
        </w:rPr>
      </w:pPr>
      <w:r>
        <w:rPr>
          <w:rFonts w:ascii="Arial" w:cs="Arial" w:eastAsia="Arial" w:hAnsi="Arial"/>
          <w:sz w:val="15"/>
          <w:szCs w:val="15"/>
          <w:color w:val="auto"/>
        </w:rPr>
        <w:t>Anything in this Section to the contrary notwithstanding, but subject to Section 10.01, the Issuer may at any time, for the purpose of obtaining a satisfaction and discharge with respect to one or more or all series of Securities hereunder, or for any other reason, pay or cause to be paid to the Trustee all sums held in trust for any such series by the Issuer or any paying agent hereunder, as required by this Section, such sums to be held by the Trustee upon the trusts herein contained.</w:t>
      </w:r>
    </w:p>
    <w:p>
      <w:pPr>
        <w:spacing w:after="0" w:line="145" w:lineRule="exact"/>
        <w:rPr>
          <w:sz w:val="20"/>
          <w:szCs w:val="20"/>
          <w:color w:val="auto"/>
        </w:rPr>
      </w:pPr>
    </w:p>
    <w:p>
      <w:pPr>
        <w:ind w:right="140" w:firstLine="595"/>
        <w:spacing w:after="0" w:line="260" w:lineRule="auto"/>
        <w:rPr>
          <w:sz w:val="20"/>
          <w:szCs w:val="20"/>
          <w:color w:val="auto"/>
        </w:rPr>
      </w:pPr>
      <w:r>
        <w:rPr>
          <w:rFonts w:ascii="Arial" w:cs="Arial" w:eastAsia="Arial" w:hAnsi="Arial"/>
          <w:sz w:val="17"/>
          <w:szCs w:val="17"/>
          <w:color w:val="auto"/>
        </w:rPr>
        <w:t>Anything in this Section to the contrary notwithstanding, the agreement to hold sums in trust as provided in this Section is subject to the provisions of Sections 10.03 and 10.04.</w:t>
      </w:r>
    </w:p>
    <w:p>
      <w:pPr>
        <w:spacing w:after="0" w:line="172" w:lineRule="exact"/>
        <w:rPr>
          <w:sz w:val="20"/>
          <w:szCs w:val="20"/>
          <w:color w:val="auto"/>
        </w:rPr>
      </w:pPr>
    </w:p>
    <w:p>
      <w:pPr>
        <w:ind w:right="40" w:firstLine="595"/>
        <w:spacing w:after="0" w:line="288" w:lineRule="auto"/>
        <w:rPr>
          <w:sz w:val="20"/>
          <w:szCs w:val="20"/>
          <w:color w:val="auto"/>
        </w:rPr>
      </w:pPr>
      <w:r>
        <w:rPr>
          <w:rFonts w:ascii="Arial" w:cs="Arial" w:eastAsia="Arial" w:hAnsi="Arial"/>
          <w:sz w:val="15"/>
          <w:szCs w:val="15"/>
          <w:color w:val="auto"/>
        </w:rPr>
        <w:t xml:space="preserve">Section 3.05 </w:t>
      </w:r>
      <w:r>
        <w:rPr>
          <w:rFonts w:ascii="Arial" w:cs="Arial" w:eastAsia="Arial" w:hAnsi="Arial"/>
          <w:sz w:val="15"/>
          <w:szCs w:val="15"/>
          <w:i w:val="1"/>
          <w:iCs w:val="1"/>
          <w:color w:val="auto"/>
        </w:rPr>
        <w:t>Written Statement to Trustee.</w:t>
      </w:r>
      <w:r>
        <w:rPr>
          <w:rFonts w:ascii="Arial" w:cs="Arial" w:eastAsia="Arial" w:hAnsi="Arial"/>
          <w:sz w:val="15"/>
          <w:szCs w:val="15"/>
          <w:color w:val="auto"/>
        </w:rPr>
        <w:t xml:space="preserve"> So long as any Securities are Outstanding hereunder, the Issuer will deliver to the Trustee, within 120 days after the end of each fiscal year of the Issuer ending after the date hereof, a written certificate covering the previous fiscal year, (which need not comply with Section 11.05), signed by its principal executive officer, principal financial officer or principal accounting officer, stating whether or not, to the best knowledge of such officer, the Issuer is in default in the performance and observance of any of the terms, provisions and conditions of this Indenture (without regard to any period of grace or requirement of notice provided hereunder) and, if the Issuer shall be in default, specifying all such defaults and the nature and status thereof of which they may have knowledge.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9">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25" w:name="page126"/>
    <w:bookmarkEnd w:id="125"/>
    <w:p>
      <w:pPr>
        <w:jc w:val="center"/>
        <w:ind w:right="-59"/>
        <w:spacing w:after="0"/>
        <w:rPr>
          <w:sz w:val="20"/>
          <w:szCs w:val="20"/>
          <w:color w:val="auto"/>
        </w:rPr>
      </w:pPr>
      <w:r>
        <w:rPr>
          <w:rFonts w:ascii="Arial" w:cs="Arial" w:eastAsia="Arial" w:hAnsi="Arial"/>
          <w:sz w:val="17"/>
          <w:szCs w:val="17"/>
          <w:color w:val="auto"/>
        </w:rPr>
        <w:t>ARTICLE 4</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SECURITYHOLDERS LISTS AND REPORTS BY THE ISSUER AND THE TRUSTEE</w:t>
      </w:r>
    </w:p>
    <w:p>
      <w:pPr>
        <w:spacing w:after="0" w:line="191" w:lineRule="exact"/>
        <w:rPr>
          <w:sz w:val="20"/>
          <w:szCs w:val="20"/>
          <w:color w:val="auto"/>
        </w:rPr>
      </w:pPr>
    </w:p>
    <w:p>
      <w:pPr>
        <w:jc w:val="both"/>
        <w:ind w:right="200" w:firstLine="595"/>
        <w:spacing w:after="0" w:line="252"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i w:val="1"/>
          <w:iCs w:val="1"/>
          <w:color w:val="auto"/>
        </w:rPr>
        <w:t>Issuer to Furnish Trustee Information as to Names and Addresses of Securityholders.</w:t>
      </w:r>
      <w:r>
        <w:rPr>
          <w:rFonts w:ascii="Arial" w:cs="Arial" w:eastAsia="Arial" w:hAnsi="Arial"/>
          <w:sz w:val="17"/>
          <w:szCs w:val="17"/>
          <w:color w:val="auto"/>
        </w:rPr>
        <w:t xml:space="preserve"> The Issuer covenants and agrees that it will furnish or cause to be furnished to the Trustee a list in such form as the Trustee may reasonably require of the names and addresses of the Holders of the Securities of each series pursuant to Section 312 of the Trust Indenture Act of 1939:</w:t>
      </w:r>
    </w:p>
    <w:p>
      <w:pPr>
        <w:spacing w:after="0" w:line="178" w:lineRule="exact"/>
        <w:rPr>
          <w:sz w:val="20"/>
          <w:szCs w:val="20"/>
          <w:color w:val="auto"/>
        </w:rPr>
      </w:pPr>
    </w:p>
    <w:p>
      <w:pPr>
        <w:ind w:right="160" w:firstLine="1190"/>
        <w:spacing w:after="0" w:line="327" w:lineRule="auto"/>
        <w:tabs>
          <w:tab w:leader="none" w:pos="1746" w:val="left"/>
        </w:tabs>
        <w:numPr>
          <w:ilvl w:val="0"/>
          <w:numId w:val="83"/>
        </w:numPr>
        <w:rPr>
          <w:rFonts w:ascii="Arial" w:cs="Arial" w:eastAsia="Arial" w:hAnsi="Arial"/>
          <w:sz w:val="15"/>
          <w:szCs w:val="15"/>
          <w:color w:val="auto"/>
        </w:rPr>
      </w:pPr>
      <w:r>
        <w:rPr>
          <w:rFonts w:ascii="Arial" w:cs="Arial" w:eastAsia="Arial" w:hAnsi="Arial"/>
          <w:sz w:val="15"/>
          <w:szCs w:val="15"/>
          <w:color w:val="auto"/>
        </w:rPr>
        <w:t>semiannually and not more than 15 days after each record date for the payment of interest on such Securities, as hereinabove specified, as of such record date and on dates to be determined pursuant to Section 2.03 for non-interest bearing Securities in each year, and</w:t>
      </w:r>
    </w:p>
    <w:p>
      <w:pPr>
        <w:spacing w:after="0" w:line="125" w:lineRule="exact"/>
        <w:rPr>
          <w:rFonts w:ascii="Arial" w:cs="Arial" w:eastAsia="Arial" w:hAnsi="Arial"/>
          <w:sz w:val="15"/>
          <w:szCs w:val="15"/>
          <w:color w:val="auto"/>
        </w:rPr>
      </w:pPr>
    </w:p>
    <w:p>
      <w:pPr>
        <w:ind w:right="200" w:firstLine="1190"/>
        <w:spacing w:after="0" w:line="252" w:lineRule="auto"/>
        <w:tabs>
          <w:tab w:leader="none" w:pos="1755"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at such other times as the Trustee may request in writing, within 30 days after receipt by the Issuer of any such request as of a date not more than 15 days prior to the time such information is furnished,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and so long as the Trustee shall be the Security registrar (the </w:t>
      </w:r>
      <w:r>
        <w:rPr>
          <w:rFonts w:ascii="Arial" w:cs="Arial" w:eastAsia="Arial" w:hAnsi="Arial"/>
          <w:sz w:val="17"/>
          <w:szCs w:val="17"/>
          <w:b w:val="1"/>
          <w:bCs w:val="1"/>
          <w:color w:val="auto"/>
        </w:rPr>
        <w:t>“Security Registrar”</w:t>
      </w:r>
      <w:r>
        <w:rPr>
          <w:rFonts w:ascii="Arial" w:cs="Arial" w:eastAsia="Arial" w:hAnsi="Arial"/>
          <w:sz w:val="17"/>
          <w:szCs w:val="17"/>
          <w:color w:val="auto"/>
        </w:rPr>
        <w:t>) for such series, such list shall not be required to be furnished.</w:t>
      </w:r>
    </w:p>
    <w:p>
      <w:pPr>
        <w:spacing w:after="0" w:line="178" w:lineRule="exact"/>
        <w:rPr>
          <w:sz w:val="20"/>
          <w:szCs w:val="20"/>
          <w:color w:val="auto"/>
        </w:rPr>
      </w:pPr>
    </w:p>
    <w:p>
      <w:pPr>
        <w:ind w:right="320" w:firstLine="595"/>
        <w:spacing w:after="0" w:line="252"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i w:val="1"/>
          <w:iCs w:val="1"/>
          <w:color w:val="auto"/>
        </w:rPr>
        <w:t>Reports by the Issuer.</w:t>
      </w:r>
      <w:r>
        <w:rPr>
          <w:rFonts w:ascii="Arial" w:cs="Arial" w:eastAsia="Arial" w:hAnsi="Arial"/>
          <w:sz w:val="17"/>
          <w:szCs w:val="17"/>
          <w:color w:val="auto"/>
        </w:rPr>
        <w:t xml:space="preserve"> The Issuer covenants to comply with Section 314(a) of the Trust Indenture Act of 1939 insofar as it relates to information, documentation and other reports which the Issuer may be required to file with the Commission pursuant to Section 13 or Section 15(d) of the Securities Exchange Act of 1934, as amended.</w:t>
      </w:r>
    </w:p>
    <w:p>
      <w:pPr>
        <w:spacing w:after="0" w:line="178"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7"/>
          <w:szCs w:val="17"/>
          <w:color w:val="auto"/>
        </w:rPr>
        <w:t>Section 4.03</w:t>
      </w:r>
      <w:r>
        <w:rPr>
          <w:sz w:val="20"/>
          <w:szCs w:val="20"/>
          <w:color w:val="auto"/>
        </w:rPr>
        <w:tab/>
      </w:r>
      <w:r>
        <w:rPr>
          <w:rFonts w:ascii="Arial" w:cs="Arial" w:eastAsia="Arial" w:hAnsi="Arial"/>
          <w:sz w:val="14"/>
          <w:szCs w:val="14"/>
          <w:i w:val="1"/>
          <w:iCs w:val="1"/>
          <w:color w:val="auto"/>
        </w:rPr>
        <w:t xml:space="preserve">Reports by the Trustee. </w:t>
      </w:r>
      <w:r>
        <w:rPr>
          <w:rFonts w:ascii="Arial" w:cs="Arial" w:eastAsia="Arial" w:hAnsi="Arial"/>
          <w:sz w:val="14"/>
          <w:szCs w:val="14"/>
          <w:color w:val="auto"/>
        </w:rPr>
        <w:t>Any Trustee’s report required under Section 313(a) of the Trust Indenture Act of 1939 shall be transmitted on or before</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______ in each year following the date hereof, so long as any Securities are Outstanding hereunder, and shall be dated as of a date convenient to the Trustee but no more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than 60 nor less than 45 days prior thereto. The Trustee shall comply with Sections 313(b), 313(c) and 313(d) of the Trust Indenture Act of 1939.</w:t>
      </w:r>
    </w:p>
    <w:p>
      <w:pPr>
        <w:spacing w:after="0" w:line="191" w:lineRule="exact"/>
        <w:rPr>
          <w:sz w:val="20"/>
          <w:szCs w:val="20"/>
          <w:color w:val="auto"/>
        </w:rPr>
      </w:pPr>
    </w:p>
    <w:p>
      <w:pPr>
        <w:ind w:right="120" w:firstLine="595"/>
        <w:spacing w:after="0" w:line="301" w:lineRule="auto"/>
        <w:rPr>
          <w:sz w:val="20"/>
          <w:szCs w:val="20"/>
          <w:color w:val="auto"/>
        </w:rPr>
      </w:pPr>
      <w:r>
        <w:rPr>
          <w:rFonts w:ascii="Arial" w:cs="Arial" w:eastAsia="Arial" w:hAnsi="Arial"/>
          <w:sz w:val="15"/>
          <w:szCs w:val="15"/>
          <w:color w:val="auto"/>
        </w:rPr>
        <w:t xml:space="preserve">Section 4.04 </w:t>
      </w:r>
      <w:r>
        <w:rPr>
          <w:rFonts w:ascii="Arial" w:cs="Arial" w:eastAsia="Arial" w:hAnsi="Arial"/>
          <w:sz w:val="15"/>
          <w:szCs w:val="15"/>
          <w:i w:val="1"/>
          <w:iCs w:val="1"/>
          <w:color w:val="auto"/>
        </w:rPr>
        <w:t>Preservation of Information; Communication with Securityholders.</w:t>
      </w:r>
      <w:r>
        <w:rPr>
          <w:rFonts w:ascii="Arial" w:cs="Arial" w:eastAsia="Arial" w:hAnsi="Arial"/>
          <w:sz w:val="15"/>
          <w:szCs w:val="15"/>
          <w:color w:val="auto"/>
        </w:rPr>
        <w:t xml:space="preserve"> (a) The Trustee shall preserve, in as current a form as is reasonably practicable, all information as to the names and addresses of the Holders of Securities contained in the most recent list furnished to it as provided in Section 4.01 and as to the names and addresses of holders of Securities received by the Trustee in its capacity as Security Registrar (if acting in such capacity).</w:t>
      </w:r>
    </w:p>
    <w:p>
      <w:pPr>
        <w:spacing w:after="0" w:line="145" w:lineRule="exact"/>
        <w:rPr>
          <w:sz w:val="20"/>
          <w:szCs w:val="20"/>
          <w:color w:val="auto"/>
        </w:rPr>
      </w:pPr>
    </w:p>
    <w:p>
      <w:pPr>
        <w:ind w:left="1720" w:hanging="530"/>
        <w:spacing w:after="0"/>
        <w:tabs>
          <w:tab w:leader="none" w:pos="17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Trustee may destroy any list furnished to it as provided in Section 4.01 upon receipt of a new list so furnished.</w:t>
      </w:r>
    </w:p>
    <w:p>
      <w:pPr>
        <w:spacing w:after="0" w:line="201" w:lineRule="exact"/>
        <w:rPr>
          <w:rFonts w:ascii="Arial" w:cs="Arial" w:eastAsia="Arial" w:hAnsi="Arial"/>
          <w:sz w:val="17"/>
          <w:szCs w:val="17"/>
          <w:color w:val="auto"/>
        </w:rPr>
      </w:pPr>
    </w:p>
    <w:p>
      <w:pPr>
        <w:ind w:left="1720" w:right="60" w:hanging="530"/>
        <w:spacing w:after="0" w:line="252" w:lineRule="auto"/>
        <w:tabs>
          <w:tab w:leader="none" w:pos="17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Securityholders may communicate as provided in Section 312(b) of the Trust Indenture Act of 1939 with other Securityholders with respect to their rights under this Indenture or under the Securities. The Issuer, the Trustee, the Security Registrar and any other Person shall have the protection of Section 312(c) of the Trust Indenture Act of 1939.</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0">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00"/>
          </w:cols>
          <w:pgMar w:left="320" w:top="846" w:right="37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7"/>
          <w:szCs w:val="17"/>
          <w:color w:val="auto"/>
        </w:rPr>
        <w:t>ARTICLE 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REMEDIES OF THE TRUSTEE AND SECURITYHOLDERS ON EVENT OF DEFAULT</w:t>
      </w:r>
    </w:p>
    <w:p>
      <w:pPr>
        <w:spacing w:after="0" w:line="187" w:lineRule="exact"/>
        <w:rPr>
          <w:sz w:val="20"/>
          <w:szCs w:val="20"/>
          <w:color w:val="auto"/>
        </w:rPr>
      </w:pPr>
    </w:p>
    <w:p>
      <w:pPr>
        <w:ind w:firstLine="595"/>
        <w:spacing w:after="0" w:line="250"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i w:val="1"/>
          <w:iCs w:val="1"/>
          <w:color w:val="auto"/>
        </w:rPr>
        <w:t>Event of Default Defined; Acceleration of Maturity; Waiver of Default.</w:t>
      </w:r>
      <w:r>
        <w:rPr>
          <w:rFonts w:ascii="Arial" w:cs="Arial" w:eastAsia="Arial" w:hAnsi="Arial"/>
          <w:sz w:val="17"/>
          <w:szCs w:val="17"/>
          <w:color w:val="auto"/>
        </w:rPr>
        <w:t xml:space="preserve"> “</w:t>
      </w:r>
      <w:r>
        <w:rPr>
          <w:rFonts w:ascii="Arial" w:cs="Arial" w:eastAsia="Arial" w:hAnsi="Arial"/>
          <w:sz w:val="17"/>
          <w:szCs w:val="17"/>
          <w:b w:val="1"/>
          <w:bCs w:val="1"/>
          <w:color w:val="auto"/>
        </w:rPr>
        <w:t>Event of Default</w:t>
      </w:r>
      <w:r>
        <w:rPr>
          <w:rFonts w:ascii="Arial" w:cs="Arial" w:eastAsia="Arial" w:hAnsi="Arial"/>
          <w:sz w:val="17"/>
          <w:szCs w:val="17"/>
          <w:color w:val="auto"/>
        </w:rPr>
        <w:t>”, with respect to Securities of any series wherever used herein, means any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82" w:lineRule="exact"/>
        <w:rPr>
          <w:sz w:val="20"/>
          <w:szCs w:val="20"/>
          <w:color w:val="auto"/>
        </w:rPr>
      </w:pPr>
    </w:p>
    <w:p>
      <w:pPr>
        <w:ind w:right="140" w:firstLine="1190"/>
        <w:spacing w:after="0" w:line="252" w:lineRule="auto"/>
        <w:tabs>
          <w:tab w:leader="none" w:pos="1746" w:val="left"/>
        </w:tabs>
        <w:numPr>
          <w:ilvl w:val="0"/>
          <w:numId w:val="85"/>
        </w:numPr>
        <w:rPr>
          <w:rFonts w:ascii="Arial" w:cs="Arial" w:eastAsia="Arial" w:hAnsi="Arial"/>
          <w:sz w:val="17"/>
          <w:szCs w:val="17"/>
          <w:color w:val="auto"/>
        </w:rPr>
      </w:pPr>
      <w:r>
        <w:rPr>
          <w:rFonts w:ascii="Arial" w:cs="Arial" w:eastAsia="Arial" w:hAnsi="Arial"/>
          <w:sz w:val="17"/>
          <w:szCs w:val="17"/>
          <w:color w:val="auto"/>
        </w:rPr>
        <w:t>default in the payment of any installment of interest upon any of the Securities of such series as and when the same shall become due and payable, and continuance of such default for a period of 30 days (or such other period as may be established for the Securities of such series as contemplated by Section 2.03); or</w:t>
      </w:r>
    </w:p>
    <w:p>
      <w:pPr>
        <w:spacing w:after="0" w:line="178" w:lineRule="exact"/>
        <w:rPr>
          <w:rFonts w:ascii="Arial" w:cs="Arial" w:eastAsia="Arial" w:hAnsi="Arial"/>
          <w:sz w:val="17"/>
          <w:szCs w:val="17"/>
          <w:color w:val="auto"/>
        </w:rPr>
      </w:pPr>
    </w:p>
    <w:p>
      <w:pPr>
        <w:ind w:right="320" w:firstLine="1190"/>
        <w:spacing w:after="0" w:line="252" w:lineRule="auto"/>
        <w:tabs>
          <w:tab w:leader="none" w:pos="1755" w:val="left"/>
        </w:tabs>
        <w:numPr>
          <w:ilvl w:val="0"/>
          <w:numId w:val="85"/>
        </w:numPr>
        <w:rPr>
          <w:rFonts w:ascii="Arial" w:cs="Arial" w:eastAsia="Arial" w:hAnsi="Arial"/>
          <w:sz w:val="17"/>
          <w:szCs w:val="17"/>
          <w:color w:val="auto"/>
        </w:rPr>
      </w:pPr>
      <w:r>
        <w:rPr>
          <w:rFonts w:ascii="Arial" w:cs="Arial" w:eastAsia="Arial" w:hAnsi="Arial"/>
          <w:sz w:val="17"/>
          <w:szCs w:val="17"/>
          <w:color w:val="auto"/>
        </w:rPr>
        <w:t>default in the payment of all or any part of the principal on any of the Securities of such series as and when the same shall become due and payable either at maturity, upon redemption, by declaration or otherwise (and, if established for the Securities of such series as contemplated by Section 2.03, the continuance of such default for a specified period); or</w:t>
      </w:r>
    </w:p>
    <w:p>
      <w:pPr>
        <w:spacing w:after="0" w:line="178" w:lineRule="exact"/>
        <w:rPr>
          <w:rFonts w:ascii="Arial" w:cs="Arial" w:eastAsia="Arial" w:hAnsi="Arial"/>
          <w:sz w:val="17"/>
          <w:szCs w:val="17"/>
          <w:color w:val="auto"/>
        </w:rPr>
      </w:pPr>
    </w:p>
    <w:p>
      <w:pPr>
        <w:ind w:firstLine="1190"/>
        <w:spacing w:after="0" w:line="288" w:lineRule="auto"/>
        <w:tabs>
          <w:tab w:leader="none" w:pos="1746" w:val="left"/>
        </w:tabs>
        <w:numPr>
          <w:ilvl w:val="0"/>
          <w:numId w:val="85"/>
        </w:numPr>
        <w:rPr>
          <w:rFonts w:ascii="Arial" w:cs="Arial" w:eastAsia="Arial" w:hAnsi="Arial"/>
          <w:sz w:val="15"/>
          <w:szCs w:val="15"/>
          <w:color w:val="auto"/>
        </w:rPr>
      </w:pPr>
      <w:r>
        <w:rPr>
          <w:rFonts w:ascii="Arial" w:cs="Arial" w:eastAsia="Arial" w:hAnsi="Arial"/>
          <w:sz w:val="15"/>
          <w:szCs w:val="15"/>
          <w:color w:val="auto"/>
        </w:rPr>
        <w:t>default in the performance, or breach, of any covenant or agreement of the Issuer in respect of the Securities of such series (other than a covenant or agreement in respect of the Securities of such series a default in the performance or breach of which is elsewhere in this Section specifically dealt with), and continuance of such default or breach for a period of 90 days after there has been given, by registered or certified mail, to the Issuer by the Trustee or to the Issuer and the Trustee by the Holders of at least 25% in principal amount of the Outstanding Securities of such series, a written notice specifying such default or breach and requiring it to be remedied and stating that such notice is a “</w:t>
      </w:r>
      <w:r>
        <w:rPr>
          <w:rFonts w:ascii="Arial" w:cs="Arial" w:eastAsia="Arial" w:hAnsi="Arial"/>
          <w:sz w:val="15"/>
          <w:szCs w:val="15"/>
          <w:b w:val="1"/>
          <w:bCs w:val="1"/>
          <w:color w:val="auto"/>
        </w:rPr>
        <w:t>Notice of Default</w:t>
      </w:r>
      <w:r>
        <w:rPr>
          <w:rFonts w:ascii="Arial" w:cs="Arial" w:eastAsia="Arial" w:hAnsi="Arial"/>
          <w:sz w:val="15"/>
          <w:szCs w:val="15"/>
          <w:color w:val="auto"/>
        </w:rPr>
        <w:t>” hereunder; or</w:t>
      </w:r>
    </w:p>
    <w:p>
      <w:pPr>
        <w:spacing w:after="0" w:line="155" w:lineRule="exact"/>
        <w:rPr>
          <w:rFonts w:ascii="Arial" w:cs="Arial" w:eastAsia="Arial" w:hAnsi="Arial"/>
          <w:sz w:val="15"/>
          <w:szCs w:val="15"/>
          <w:color w:val="auto"/>
        </w:rPr>
      </w:pPr>
    </w:p>
    <w:p>
      <w:pPr>
        <w:jc w:val="both"/>
        <w:ind w:right="140" w:firstLine="1190"/>
        <w:spacing w:after="0" w:line="249" w:lineRule="auto"/>
        <w:tabs>
          <w:tab w:leader="none" w:pos="1755" w:val="left"/>
        </w:tabs>
        <w:numPr>
          <w:ilvl w:val="0"/>
          <w:numId w:val="85"/>
        </w:numPr>
        <w:rPr>
          <w:rFonts w:ascii="Arial" w:cs="Arial" w:eastAsia="Arial" w:hAnsi="Arial"/>
          <w:sz w:val="17"/>
          <w:szCs w:val="17"/>
          <w:color w:val="auto"/>
        </w:rPr>
      </w:pPr>
      <w:r>
        <w:rPr>
          <w:rFonts w:ascii="Arial" w:cs="Arial" w:eastAsia="Arial" w:hAnsi="Arial"/>
          <w:sz w:val="17"/>
          <w:szCs w:val="17"/>
          <w:color w:val="auto"/>
        </w:rPr>
        <w:t>a court having jurisdiction in the premises shall enter a decree or order for relief in respect of the Issuer in an involuntary case under any applicable bankruptcy, insolvency or other similar law now or hereafter in effect, or appointing a receiver, liquidator, assignee, custodian, trustee or sequestrator (or similar official) of the Issuer or for all or substantially all of its property and assets or ordering the winding up or liquidation of its affairs, and such decree or order shall remain unstayed and in effect for a period of 90 consecutive days; or</w:t>
      </w:r>
    </w:p>
    <w:p>
      <w:pPr>
        <w:spacing w:after="0" w:line="181" w:lineRule="exact"/>
        <w:rPr>
          <w:rFonts w:ascii="Arial" w:cs="Arial" w:eastAsia="Arial" w:hAnsi="Arial"/>
          <w:sz w:val="17"/>
          <w:szCs w:val="17"/>
          <w:color w:val="auto"/>
        </w:rPr>
      </w:pPr>
    </w:p>
    <w:p>
      <w:pPr>
        <w:ind w:right="140" w:firstLine="1190"/>
        <w:spacing w:after="0" w:line="249" w:lineRule="auto"/>
        <w:tabs>
          <w:tab w:leader="none" w:pos="1746"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Issuer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liquidator, assignee, custodian, trustee or sequestrator (or similar official) of the Issuer or for any substantial part of its property and assets, or make any general assignment for the benefit of creditors; or</w:t>
      </w:r>
    </w:p>
    <w:p>
      <w:pPr>
        <w:spacing w:after="0" w:line="181" w:lineRule="exact"/>
        <w:rPr>
          <w:rFonts w:ascii="Arial" w:cs="Arial" w:eastAsia="Arial" w:hAnsi="Arial"/>
          <w:sz w:val="17"/>
          <w:szCs w:val="17"/>
          <w:color w:val="auto"/>
        </w:rPr>
      </w:pPr>
    </w:p>
    <w:p>
      <w:pPr>
        <w:ind w:left="1760" w:hanging="570"/>
        <w:spacing w:after="0"/>
        <w:tabs>
          <w:tab w:leader="none" w:pos="17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any other Event of Default provided for in such series of Securities.</w:t>
      </w:r>
    </w:p>
    <w:p>
      <w:pPr>
        <w:spacing w:after="0" w:line="201" w:lineRule="exact"/>
        <w:rPr>
          <w:sz w:val="20"/>
          <w:szCs w:val="20"/>
          <w:color w:val="auto"/>
        </w:rPr>
      </w:pPr>
    </w:p>
    <w:p>
      <w:pPr>
        <w:ind w:firstLine="595"/>
        <w:spacing w:after="0" w:line="283" w:lineRule="auto"/>
        <w:rPr>
          <w:sz w:val="20"/>
          <w:szCs w:val="20"/>
          <w:color w:val="auto"/>
        </w:rPr>
      </w:pPr>
      <w:r>
        <w:rPr>
          <w:rFonts w:ascii="Arial" w:cs="Arial" w:eastAsia="Arial" w:hAnsi="Arial"/>
          <w:sz w:val="15"/>
          <w:szCs w:val="15"/>
          <w:color w:val="auto"/>
        </w:rPr>
        <w:t>If an Event of Default described in clauses (a), (b), (c) or (f) occurs and is continuing, then, and in each and every such case, unless the principal of all of the Securities of such series shall have already become due and payable, either the Trustee or the Holders of not less than 25% in aggregate principal amount of the Securities of such series then Outstanding hereunder (each such series voting as a separate class) by notice in writing to the Issuer (and also to the Trustee if given by Securityholders), may declare the entire principal (or, if the Securities of such series are Original Issue Discount Securities, such portion of the principal amount as may be specified in the terms of such series) of all Securities of such series and the interest accrued thereon, if any, to be due and payable immediately, and upon any such declaration the same shall become immediately due and payable. If an Event of Default described in clauses (d) or (e) occurs and is continuing, then and in each and every such case, the entire principal (or, if any Securities are Original Issue Discount Securities, such portion of the principal as may be specified in the terms thereof) of all the Securities then Outstanding and interest accrued thereon, if any, shall automatically become immediately due and payable.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1">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27" w:name="page128"/>
    <w:bookmarkEnd w:id="127"/>
    <w:p>
      <w:pPr>
        <w:ind w:firstLine="595"/>
        <w:spacing w:after="0" w:line="303" w:lineRule="auto"/>
        <w:rPr>
          <w:sz w:val="20"/>
          <w:szCs w:val="20"/>
          <w:color w:val="auto"/>
        </w:rPr>
      </w:pPr>
      <w:r>
        <w:rPr>
          <w:rFonts w:ascii="Arial" w:cs="Arial" w:eastAsia="Arial" w:hAnsi="Arial"/>
          <w:sz w:val="14"/>
          <w:szCs w:val="14"/>
          <w:color w:val="auto"/>
        </w:rPr>
        <w:t>The foregoing provisions, however, are subject to the condition that if, at any time after the principal of the Securities of any series shall have been so declared due and payable, and before any judgment or decree for the payment of the moneys due shall have been obtained or entered as hereinafter provided, the Issuer shall pay or shall deposit with the Trustee a sum sufficient to pay all matured installments of interest upon all the Securities of such series and the principal of any and all Securities of such series which shall have become due otherwise than by acceleration (with interest upon such principal and, to the extent that payment of such interest is enforceable under applicable law, on overdue installments of interest, at the same rate as the rate of interest specified in the Securities of such series to the date of such payment or deposit) and such amount as shall be sufficient to cover reasonable compensation to the Trustee, its agents, attorneys and counsel, and all other expenses and liabilities incurred, and all advances made, by the Trustee except as a result of negligence or bad faith, and if any and all Events of Default under the Indenture with respect to such series, other than the non-payment of the principal of Securities of such series which shall have become due solely by such acceleration, shall have been cured, waived or otherwise remedied as provided herein, then and in every such case the Holders of a majority in aggregate principal amount of all the Securities of such series then Outstanding, by written notice to the Issuer and to the Trustee, may waive all defaults with respect to such series and rescind and annul such declaration and its consequences, but no such waiver or rescission and annulment shall extend to or shall affect any subsequent default or shall impair any right consequent thereon.</w:t>
      </w:r>
    </w:p>
    <w:p>
      <w:pPr>
        <w:spacing w:after="0" w:line="146" w:lineRule="exact"/>
        <w:rPr>
          <w:sz w:val="20"/>
          <w:szCs w:val="20"/>
          <w:color w:val="auto"/>
        </w:rPr>
      </w:pPr>
    </w:p>
    <w:p>
      <w:pPr>
        <w:ind w:right="20" w:firstLine="595"/>
        <w:spacing w:after="0" w:line="286" w:lineRule="auto"/>
        <w:rPr>
          <w:sz w:val="20"/>
          <w:szCs w:val="20"/>
          <w:color w:val="auto"/>
        </w:rPr>
      </w:pPr>
      <w:r>
        <w:rPr>
          <w:rFonts w:ascii="Arial" w:cs="Arial" w:eastAsia="Arial" w:hAnsi="Arial"/>
          <w:sz w:val="15"/>
          <w:szCs w:val="15"/>
          <w:color w:val="auto"/>
        </w:rPr>
        <w:t>Unless otherwise indicated in the Board Resolution, Officer’s Certificate or supplemental indenture for a series of Original Issue Discount Securities, 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56" w:lineRule="exact"/>
        <w:rPr>
          <w:sz w:val="20"/>
          <w:szCs w:val="20"/>
          <w:color w:val="auto"/>
        </w:rPr>
      </w:pPr>
    </w:p>
    <w:p>
      <w:pPr>
        <w:ind w:right="60" w:firstLine="595"/>
        <w:spacing w:after="0" w:line="281" w:lineRule="auto"/>
        <w:rPr>
          <w:sz w:val="20"/>
          <w:szCs w:val="20"/>
          <w:color w:val="auto"/>
        </w:rPr>
      </w:pPr>
      <w:r>
        <w:rPr>
          <w:rFonts w:ascii="Arial" w:cs="Arial" w:eastAsia="Arial" w:hAnsi="Arial"/>
          <w:sz w:val="15"/>
          <w:szCs w:val="15"/>
          <w:color w:val="auto"/>
        </w:rPr>
        <w:t xml:space="preserve">Section 5.02 </w:t>
      </w:r>
      <w:r>
        <w:rPr>
          <w:rFonts w:ascii="Arial" w:cs="Arial" w:eastAsia="Arial" w:hAnsi="Arial"/>
          <w:sz w:val="15"/>
          <w:szCs w:val="15"/>
          <w:i w:val="1"/>
          <w:iCs w:val="1"/>
          <w:color w:val="auto"/>
        </w:rPr>
        <w:t>Collection of Debt by Trustee; Trustee May Prove Debt.</w:t>
      </w:r>
      <w:r>
        <w:rPr>
          <w:rFonts w:ascii="Arial" w:cs="Arial" w:eastAsia="Arial" w:hAnsi="Arial"/>
          <w:sz w:val="15"/>
          <w:szCs w:val="15"/>
          <w:color w:val="auto"/>
        </w:rPr>
        <w:t xml:space="preserve"> The Issuer covenants that (a) in case default shall be made in the payment of any installment of interest on any of the Securities of any series when such interest shall have become due and payable, and such default shall have continued for a period of 30 days or (b) in case default shall be made in the payment of all or any part of the principal of any of the Securities of any series when the same shall have become due and payable, whether upon maturity of the Securities of such series or upon any redemption or by declaration or otherwise, then, upon demand of the Trustee, the Issuer will pay to the Trustee for the benefit of the Holders of the Securities of such series the whole amount that then shall have become due and payable on all Securities of such series for principal or interest, as the case may be (with interest to the date of such payment upon the overdue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and, in addition thereto, such further amount as shall be sufficient to cover the costs and expenses of collection, including reasonable compensation to the Trustee and each predecessor trustee, their respective agents, attorneys and counsel, and any expenses and liabilities incurred, and all advances made, by the Trustee and each predecessor trustee except as a result of its negligence or bad faith.</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2">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28" w:name="page129"/>
    <w:bookmarkEnd w:id="128"/>
    <w:p>
      <w:pPr>
        <w:ind w:firstLine="595"/>
        <w:spacing w:after="0" w:line="293" w:lineRule="auto"/>
        <w:rPr>
          <w:sz w:val="20"/>
          <w:szCs w:val="20"/>
          <w:color w:val="auto"/>
        </w:rPr>
      </w:pPr>
      <w:r>
        <w:rPr>
          <w:rFonts w:ascii="Arial" w:cs="Arial" w:eastAsia="Arial" w:hAnsi="Arial"/>
          <w:sz w:val="15"/>
          <w:szCs w:val="15"/>
          <w:color w:val="auto"/>
        </w:rPr>
        <w:t>In case the Issuer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Issuer or other obligor upon such Securities and collect in the manner provided by law out of the property of the Issuer or other obligor upon such Securities, wherever situated, the moneys adjudged or decreed to be payable.</w:t>
      </w:r>
    </w:p>
    <w:p>
      <w:pPr>
        <w:spacing w:after="0" w:line="150" w:lineRule="exact"/>
        <w:rPr>
          <w:sz w:val="20"/>
          <w:szCs w:val="20"/>
          <w:color w:val="auto"/>
        </w:rPr>
      </w:pPr>
    </w:p>
    <w:p>
      <w:pPr>
        <w:ind w:firstLine="595"/>
        <w:spacing w:after="0" w:line="286" w:lineRule="auto"/>
        <w:rPr>
          <w:sz w:val="20"/>
          <w:szCs w:val="20"/>
          <w:color w:val="auto"/>
        </w:rPr>
      </w:pPr>
      <w:r>
        <w:rPr>
          <w:rFonts w:ascii="Arial" w:cs="Arial" w:eastAsia="Arial" w:hAnsi="Arial"/>
          <w:sz w:val="15"/>
          <w:szCs w:val="15"/>
          <w:color w:val="auto"/>
        </w:rPr>
        <w:t>In case there shall be pending proceedings relative to the Issuer or any other obligor upon the Securities under Title 11 of the United States Code or any other applicable Federal or state bankruptcy, insolvency or other similar law, or in case a receiver, assignee or trustee in bankruptcy or reorganization, liquidator, sequestrator or similar official shall have been appointed for or taken possession of the Issuer or its property or such other obligor or its property, or in case of any other comparable judicial proceedings relative to the Issuer or other obligor upon the Securities of any series, or to the creditors or property of the Issuer or such other obligor, the Trustee, irrespective of whether the principal of any Securities shall then be due and payable as therein expressed or by declaration or otherwise and irrespective of whether the Trustee shall have made any demand pursuant to the provisions of this Section, shall be entitled and empowered, by intervention in such proceedings or otherwise:</w:t>
      </w:r>
    </w:p>
    <w:p>
      <w:pPr>
        <w:spacing w:after="0" w:line="156" w:lineRule="exact"/>
        <w:rPr>
          <w:sz w:val="20"/>
          <w:szCs w:val="20"/>
          <w:color w:val="auto"/>
        </w:rPr>
      </w:pPr>
    </w:p>
    <w:p>
      <w:pPr>
        <w:ind w:left="1200" w:right="80" w:firstLine="585"/>
        <w:spacing w:after="0" w:line="284" w:lineRule="auto"/>
        <w:tabs>
          <w:tab w:leader="none" w:pos="2323" w:val="left"/>
        </w:tabs>
        <w:numPr>
          <w:ilvl w:val="0"/>
          <w:numId w:val="86"/>
        </w:numPr>
        <w:rPr>
          <w:rFonts w:ascii="Arial" w:cs="Arial" w:eastAsia="Arial" w:hAnsi="Arial"/>
          <w:sz w:val="15"/>
          <w:szCs w:val="15"/>
          <w:color w:val="auto"/>
        </w:rPr>
      </w:pPr>
      <w:r>
        <w:rPr>
          <w:rFonts w:ascii="Arial" w:cs="Arial" w:eastAsia="Arial" w:hAnsi="Arial"/>
          <w:sz w:val="15"/>
          <w:szCs w:val="15"/>
          <w:color w:val="auto"/>
        </w:rPr>
        <w:t>to file and prove a claim or claims for the whole amount of principal and interest (or, if the Securities of any series are Original Issue Discount Securities, such portion of the principal amount as may be specified in the terms of such series) owing and unpaid in respect of the Securities of any series, and to file such other papers or documents as may be necessary or advisable in order to have the claims of the Trustee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or bad faith) and of the Securityholders allowed in any judicial proceedings relative to the Issuer or other obligor upon the Securities of any series, or to the creditors or property of the Issuer or such other obligor,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3">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29" w:name="page130"/>
    <w:bookmarkEnd w:id="129"/>
    <w:p>
      <w:pPr>
        <w:ind w:left="1200" w:firstLine="585"/>
        <w:spacing w:after="0" w:line="252" w:lineRule="auto"/>
        <w:tabs>
          <w:tab w:leader="none" w:pos="2328" w:val="left"/>
        </w:tabs>
        <w:numPr>
          <w:ilvl w:val="0"/>
          <w:numId w:val="87"/>
        </w:numPr>
        <w:rPr>
          <w:rFonts w:ascii="Arial" w:cs="Arial" w:eastAsia="Arial" w:hAnsi="Arial"/>
          <w:sz w:val="17"/>
          <w:szCs w:val="17"/>
          <w:color w:val="auto"/>
        </w:rPr>
      </w:pPr>
      <w:r>
        <w:rPr>
          <w:rFonts w:ascii="Arial" w:cs="Arial" w:eastAsia="Arial" w:hAnsi="Arial"/>
          <w:sz w:val="17"/>
          <w:szCs w:val="17"/>
          <w:color w:val="auto"/>
        </w:rPr>
        <w:t>unless prohibited by applicable law and regulations, to vote on behalf of the Holders of the Securities of any series in any election of a trustee or a standby trustee in arrangement, reorganization, liquidation or other bankruptcy or insolvency proceedings or person performing similar functions in comparable proceedings, and</w:t>
      </w:r>
    </w:p>
    <w:p>
      <w:pPr>
        <w:spacing w:after="0" w:line="178" w:lineRule="exact"/>
        <w:rPr>
          <w:rFonts w:ascii="Arial" w:cs="Arial" w:eastAsia="Arial" w:hAnsi="Arial"/>
          <w:sz w:val="17"/>
          <w:szCs w:val="17"/>
          <w:color w:val="auto"/>
        </w:rPr>
      </w:pPr>
    </w:p>
    <w:p>
      <w:pPr>
        <w:ind w:left="1200" w:right="100" w:firstLine="585"/>
        <w:spacing w:after="0" w:line="284" w:lineRule="auto"/>
        <w:tabs>
          <w:tab w:leader="none" w:pos="2332" w:val="left"/>
        </w:tabs>
        <w:numPr>
          <w:ilvl w:val="0"/>
          <w:numId w:val="87"/>
        </w:numPr>
        <w:rPr>
          <w:rFonts w:ascii="Arial" w:cs="Arial" w:eastAsia="Arial" w:hAnsi="Arial"/>
          <w:sz w:val="15"/>
          <w:szCs w:val="15"/>
          <w:color w:val="auto"/>
        </w:rPr>
      </w:pPr>
      <w:r>
        <w:rPr>
          <w:rFonts w:ascii="Arial" w:cs="Arial" w:eastAsia="Arial" w:hAnsi="Arial"/>
          <w:sz w:val="15"/>
          <w:szCs w:val="15"/>
          <w:color w:val="auto"/>
        </w:rPr>
        <w:t>to collect and receive any moneys or other property payable or deliverable on any such claims, and to distribute all amounts received with respect to the claims of the Securityholders and of the Trustee on their behalf; and any trustee, receiver or liquidator, custodian or other similar official is hereby authorized by each of the Securityholders to make payments to the Trustee, and, in the event that the Trustee shall consent to the making of payments directly to the Securityholders, to pay to the Trustee such amounts as shall be sufficient to cover reasonable compensation to the Trustee, each predecessor trustee and their respective agents, attorneys and counsel, and all other expenses and liabilities incurred, and all advances made, by the Trustee and each predecessor trustee except as a result of negligence or bad faith and all other amounts due to the Trustee or any predecessor trustee pursuant to Section 6.06.</w:t>
      </w:r>
    </w:p>
    <w:p>
      <w:pPr>
        <w:spacing w:after="0" w:line="159" w:lineRule="exact"/>
        <w:rPr>
          <w:sz w:val="20"/>
          <w:szCs w:val="20"/>
          <w:color w:val="auto"/>
        </w:rPr>
      </w:pPr>
    </w:p>
    <w:p>
      <w:pPr>
        <w:ind w:right="120" w:firstLine="595"/>
        <w:spacing w:after="0" w:line="301" w:lineRule="auto"/>
        <w:rPr>
          <w:sz w:val="20"/>
          <w:szCs w:val="20"/>
          <w:color w:val="auto"/>
        </w:rPr>
      </w:pPr>
      <w:r>
        <w:rPr>
          <w:rFonts w:ascii="Arial" w:cs="Arial" w:eastAsia="Arial" w:hAnsi="Arial"/>
          <w:sz w:val="15"/>
          <w:szCs w:val="15"/>
          <w:color w:val="auto"/>
        </w:rPr>
        <w:t>Nothing herein contained shall be deemed to authorize the Trustee to authorize or consent to or vote for or accept or adopt on behalf of any Securityholder any plan of reorganization, arrangement, adjustment or composition affecting the Securities of any series or the rights of any Holder thereof, or to authorize the Trustee to vote in respect of the claim of any Securityholder in any such proceeding except, as aforesaid, to vote for the election of a trustee in bankruptcy or similar person.</w:t>
      </w:r>
    </w:p>
    <w:p>
      <w:pPr>
        <w:spacing w:after="0" w:line="145" w:lineRule="exact"/>
        <w:rPr>
          <w:sz w:val="20"/>
          <w:szCs w:val="20"/>
          <w:color w:val="auto"/>
        </w:rPr>
      </w:pPr>
    </w:p>
    <w:p>
      <w:pPr>
        <w:ind w:firstLine="595"/>
        <w:spacing w:after="0" w:line="247" w:lineRule="auto"/>
        <w:rPr>
          <w:sz w:val="20"/>
          <w:szCs w:val="20"/>
          <w:color w:val="auto"/>
        </w:rPr>
      </w:pPr>
      <w:r>
        <w:rPr>
          <w:rFonts w:ascii="Arial" w:cs="Arial" w:eastAsia="Arial" w:hAnsi="Arial"/>
          <w:sz w:val="17"/>
          <w:szCs w:val="17"/>
          <w:color w:val="auto"/>
        </w:rPr>
        <w:t>All rights of action and of asserting claims under this Indenture, or under any of the Securities of any series, may be enforced by the Trustee without the possession of any of the Securities of such series or the production thereof on any trial or other proceedings relative thereto, and any such action or proceedings instituted by the Trustee shall be brought in its own name as trustee of an express trust, and any recovery of judgment, subject to the payment of the expenses, disbursements and compensation of the Trustee, each predecessor trustee and their respective agents and attorneys, shall be for the ratable benefit of the Holders of the Securities in respect of which such action was taken.</w:t>
      </w:r>
    </w:p>
    <w:p>
      <w:pPr>
        <w:spacing w:after="0" w:line="185" w:lineRule="exact"/>
        <w:rPr>
          <w:sz w:val="20"/>
          <w:szCs w:val="20"/>
          <w:color w:val="auto"/>
        </w:rPr>
      </w:pPr>
    </w:p>
    <w:p>
      <w:pPr>
        <w:ind w:firstLine="595"/>
        <w:spacing w:after="0" w:line="252" w:lineRule="auto"/>
        <w:rPr>
          <w:sz w:val="20"/>
          <w:szCs w:val="20"/>
          <w:color w:val="auto"/>
        </w:rPr>
      </w:pPr>
      <w:r>
        <w:rPr>
          <w:rFonts w:ascii="Arial" w:cs="Arial" w:eastAsia="Arial" w:hAnsi="Arial"/>
          <w:sz w:val="17"/>
          <w:szCs w:val="17"/>
          <w:color w:val="auto"/>
        </w:rPr>
        <w:t>In any proceedings brought by the Trustee (and also any proceedings involving the interpretation of any provision of this Indenture to which the Trustee shall be a party), the Trustee shall be held to represent all the Holders of the Securities in respect to which such action was taken, and it shall not be necessary to make any Holders of such Securities parties to any such proceedings.</w:t>
      </w:r>
    </w:p>
    <w:p>
      <w:pPr>
        <w:spacing w:after="0" w:line="178" w:lineRule="exact"/>
        <w:rPr>
          <w:sz w:val="20"/>
          <w:szCs w:val="20"/>
          <w:color w:val="auto"/>
        </w:rPr>
      </w:pPr>
    </w:p>
    <w:p>
      <w:pPr>
        <w:ind w:right="20" w:firstLine="595"/>
        <w:spacing w:after="0" w:line="293" w:lineRule="auto"/>
        <w:rPr>
          <w:sz w:val="20"/>
          <w:szCs w:val="20"/>
          <w:color w:val="auto"/>
        </w:rPr>
      </w:pPr>
      <w:r>
        <w:rPr>
          <w:rFonts w:ascii="Arial" w:cs="Arial" w:eastAsia="Arial" w:hAnsi="Arial"/>
          <w:sz w:val="15"/>
          <w:szCs w:val="15"/>
          <w:color w:val="auto"/>
        </w:rPr>
        <w:t xml:space="preserve">Section 5.03 </w:t>
      </w:r>
      <w:r>
        <w:rPr>
          <w:rFonts w:ascii="Arial" w:cs="Arial" w:eastAsia="Arial" w:hAnsi="Arial"/>
          <w:sz w:val="15"/>
          <w:szCs w:val="15"/>
          <w:i w:val="1"/>
          <w:iCs w:val="1"/>
          <w:color w:val="auto"/>
        </w:rPr>
        <w:t>Application of Proceeds.</w:t>
      </w:r>
      <w:r>
        <w:rPr>
          <w:rFonts w:ascii="Arial" w:cs="Arial" w:eastAsia="Arial" w:hAnsi="Arial"/>
          <w:sz w:val="15"/>
          <w:szCs w:val="15"/>
          <w:color w:val="auto"/>
        </w:rPr>
        <w:t xml:space="preserve"> Any moneys collected by the Trustee pursuant to this Article in respect of any series shall be applied in the following order at the date or dates fixed by the Trustee and, in case of the distribution of such moneys on account of principal or interest, upon presentation of the several Securities in respect of which monies have been collected and stamping (or otherwise noting) thereon the payment, or issuing Securities of such series in reduced principal amounts in exchange for the presented Securities of like series if only partially paid, or upon surrender thereof if fully paid:</w:t>
      </w: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4">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00"/>
          </w:cols>
          <w:pgMar w:left="320" w:top="846" w:right="379" w:bottom="1440" w:gutter="0" w:footer="0" w:header="0"/>
        </w:sectPr>
      </w:pPr>
    </w:p>
    <w:bookmarkStart w:id="130" w:name="page131"/>
    <w:bookmarkEnd w:id="130"/>
    <w:p>
      <w:pPr>
        <w:ind w:left="1200"/>
        <w:spacing w:after="0"/>
        <w:rPr>
          <w:sz w:val="20"/>
          <w:szCs w:val="20"/>
          <w:color w:val="auto"/>
        </w:rPr>
      </w:pPr>
      <w:r>
        <w:rPr>
          <w:rFonts w:ascii="Arial" w:cs="Arial" w:eastAsia="Arial" w:hAnsi="Arial"/>
          <w:sz w:val="17"/>
          <w:szCs w:val="17"/>
          <w:color w:val="auto"/>
        </w:rPr>
        <w:t>FIRST: To the payment of all amounts due to the Trustee or any predecessor trustee pursuant to Section 6.06;</w:t>
      </w:r>
    </w:p>
    <w:p>
      <w:pPr>
        <w:spacing w:after="0" w:line="201" w:lineRule="exact"/>
        <w:rPr>
          <w:sz w:val="20"/>
          <w:szCs w:val="20"/>
          <w:color w:val="auto"/>
        </w:rPr>
      </w:pPr>
    </w:p>
    <w:p>
      <w:pPr>
        <w:ind w:firstLine="1191"/>
        <w:spacing w:after="0" w:line="247" w:lineRule="auto"/>
        <w:rPr>
          <w:sz w:val="20"/>
          <w:szCs w:val="20"/>
          <w:color w:val="auto"/>
        </w:rPr>
      </w:pPr>
      <w:r>
        <w:rPr>
          <w:rFonts w:ascii="Arial" w:cs="Arial" w:eastAsia="Arial" w:hAnsi="Arial"/>
          <w:sz w:val="17"/>
          <w:szCs w:val="17"/>
          <w:color w:val="auto"/>
        </w:rPr>
        <w:t>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to the extent permitted by applicable law, at the same rate as the rate of interest or Yield to Maturity (in the case of Original Issue Discount Securities) specified in such Securities, such payments to be made ratably to the Persons entitled thereto, without discrimination or preference;</w:t>
      </w:r>
    </w:p>
    <w:p>
      <w:pPr>
        <w:spacing w:after="0" w:line="185" w:lineRule="exact"/>
        <w:rPr>
          <w:sz w:val="20"/>
          <w:szCs w:val="20"/>
          <w:color w:val="auto"/>
        </w:rPr>
      </w:pPr>
    </w:p>
    <w:p>
      <w:pPr>
        <w:ind w:right="20" w:firstLine="1191"/>
        <w:spacing w:after="0" w:line="284" w:lineRule="auto"/>
        <w:rPr>
          <w:sz w:val="20"/>
          <w:szCs w:val="20"/>
          <w:color w:val="auto"/>
        </w:rPr>
      </w:pPr>
      <w:r>
        <w:rPr>
          <w:rFonts w:ascii="Arial" w:cs="Arial" w:eastAsia="Arial" w:hAnsi="Arial"/>
          <w:sz w:val="15"/>
          <w:szCs w:val="15"/>
          <w:color w:val="auto"/>
        </w:rPr>
        <w:t>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to the extent permitted by applicable law,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 principal and interest, without preference or priority of principal over interest, or of interest over principal, or of any installment of interest over any other installment of interest, or of any Security of such series over any other Security of such series, ratably to the aggregate of such principal and accrued and unpaid interest; and</w:t>
      </w:r>
    </w:p>
    <w:p>
      <w:pPr>
        <w:spacing w:after="0" w:line="159"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FOURTH: To the payment of the remainder, if any, to the Issuer or any other Person lawfully entitled thereto.</w:t>
      </w:r>
    </w:p>
    <w:p>
      <w:pPr>
        <w:spacing w:after="0" w:line="201" w:lineRule="exact"/>
        <w:rPr>
          <w:sz w:val="20"/>
          <w:szCs w:val="20"/>
          <w:color w:val="auto"/>
        </w:rPr>
      </w:pPr>
    </w:p>
    <w:p>
      <w:pPr>
        <w:ind w:right="20" w:firstLine="595"/>
        <w:spacing w:after="0" w:line="293" w:lineRule="auto"/>
        <w:rPr>
          <w:sz w:val="20"/>
          <w:szCs w:val="20"/>
          <w:color w:val="auto"/>
        </w:rPr>
      </w:pPr>
      <w:r>
        <w:rPr>
          <w:rFonts w:ascii="Arial" w:cs="Arial" w:eastAsia="Arial" w:hAnsi="Arial"/>
          <w:sz w:val="15"/>
          <w:szCs w:val="15"/>
          <w:color w:val="auto"/>
        </w:rPr>
        <w:t xml:space="preserve">Section 5.04 </w:t>
      </w:r>
      <w:r>
        <w:rPr>
          <w:rFonts w:ascii="Arial" w:cs="Arial" w:eastAsia="Arial" w:hAnsi="Arial"/>
          <w:sz w:val="15"/>
          <w:szCs w:val="15"/>
          <w:i w:val="1"/>
          <w:iCs w:val="1"/>
          <w:color w:val="auto"/>
        </w:rPr>
        <w:t>Suits for Enforcement</w:t>
      </w:r>
      <w:r>
        <w:rPr>
          <w:rFonts w:ascii="Arial" w:cs="Arial" w:eastAsia="Arial" w:hAnsi="Arial"/>
          <w:sz w:val="15"/>
          <w:szCs w:val="15"/>
          <w:color w:val="auto"/>
        </w:rPr>
        <w:t>. In case an Event of Default has occurred, has not been waived and is continuing, the Trustee may in its discretion proceed to protect and enforce the rights vested in it by this Indenture by such appropriate judicial proceedings as the Trustee shall deem most effectual to protect and enforce any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50" w:lineRule="exact"/>
        <w:rPr>
          <w:sz w:val="20"/>
          <w:szCs w:val="20"/>
          <w:color w:val="auto"/>
        </w:rPr>
      </w:pPr>
    </w:p>
    <w:p>
      <w:pPr>
        <w:jc w:val="both"/>
        <w:ind w:right="20" w:firstLine="595"/>
        <w:spacing w:after="0" w:line="293" w:lineRule="auto"/>
        <w:rPr>
          <w:sz w:val="20"/>
          <w:szCs w:val="20"/>
          <w:color w:val="auto"/>
        </w:rPr>
      </w:pPr>
      <w:r>
        <w:rPr>
          <w:rFonts w:ascii="Arial" w:cs="Arial" w:eastAsia="Arial" w:hAnsi="Arial"/>
          <w:sz w:val="15"/>
          <w:szCs w:val="15"/>
          <w:color w:val="auto"/>
        </w:rPr>
        <w:t xml:space="preserve">Section 5.05 </w:t>
      </w:r>
      <w:r>
        <w:rPr>
          <w:rFonts w:ascii="Arial" w:cs="Arial" w:eastAsia="Arial" w:hAnsi="Arial"/>
          <w:sz w:val="15"/>
          <w:szCs w:val="15"/>
          <w:i w:val="1"/>
          <w:iCs w:val="1"/>
          <w:color w:val="auto"/>
        </w:rPr>
        <w:t>Restoration of Rights on Abandonment of Proceedings</w:t>
      </w:r>
      <w:r>
        <w:rPr>
          <w:rFonts w:ascii="Arial" w:cs="Arial" w:eastAsia="Arial" w:hAnsi="Arial"/>
          <w:sz w:val="15"/>
          <w:szCs w:val="15"/>
          <w:color w:val="auto"/>
        </w:rPr>
        <w:t>. In case the Trustee shall have proceeded to enforce any right under this Indenture and such proceedings shall have been discontinued or abandoned for any reason, or shall have been determined adversely to the Trustee, then and in every such case (subject to any determination in such proceeding) the Issuer and the Trustee shall be restored respectively to their former positions and rights hereunder, and all rights, remedies and powers of the Issuer, the Trustee and the Securityholders shall continue as though no such proceedings had been taken.</w:t>
      </w: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5">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180"/>
          </w:cols>
          <w:pgMar w:left="320" w:top="846" w:right="399" w:bottom="1440" w:gutter="0" w:footer="0" w:header="0"/>
        </w:sectPr>
      </w:pPr>
    </w:p>
    <w:bookmarkStart w:id="131" w:name="page132"/>
    <w:bookmarkEnd w:id="131"/>
    <w:p>
      <w:pPr>
        <w:ind w:firstLine="595"/>
        <w:spacing w:after="0" w:line="301" w:lineRule="auto"/>
        <w:rPr>
          <w:sz w:val="20"/>
          <w:szCs w:val="20"/>
          <w:color w:val="auto"/>
        </w:rPr>
      </w:pPr>
      <w:r>
        <w:rPr>
          <w:rFonts w:ascii="Arial" w:cs="Arial" w:eastAsia="Arial" w:hAnsi="Arial"/>
          <w:sz w:val="14"/>
          <w:szCs w:val="14"/>
          <w:color w:val="auto"/>
        </w:rPr>
        <w:t xml:space="preserve">Section 5.06 </w:t>
      </w:r>
      <w:r>
        <w:rPr>
          <w:rFonts w:ascii="Arial" w:cs="Arial" w:eastAsia="Arial" w:hAnsi="Arial"/>
          <w:sz w:val="14"/>
          <w:szCs w:val="14"/>
          <w:i w:val="1"/>
          <w:iCs w:val="1"/>
          <w:color w:val="auto"/>
        </w:rPr>
        <w:t>Limitations on Suits by Securityholders</w:t>
      </w:r>
      <w:r>
        <w:rPr>
          <w:rFonts w:ascii="Arial" w:cs="Arial" w:eastAsia="Arial" w:hAnsi="Arial"/>
          <w:sz w:val="14"/>
          <w:szCs w:val="14"/>
          <w:color w:val="auto"/>
        </w:rPr>
        <w:t>. No Holder of any Security of any series shall have any right by virtue, or by availing itself, of any provision of this Indenture to institute any action or proceeding at law or in equity or in bankruptcy or otherwise upon or under or with respect to this Indenture, or for the appointment of a trustee, receiver, liquidator, custodian or other similar official or for any other remedy hereunder, unless such Holder previously shall have given to the Trustee written notice of default and of the continuance thereof, as hereinbefore provided, and unless also the Holders of not less than 25% in aggregate principal amount of the Securities of such series then Outstanding shall have made written request upon the Trustee to institute such action or proceedings in its own name as trustee hereunder and shall have offered to the Trustee such reasonable indemnity as it may require against the costs, expenses and liabilities to be incurred therein or thereby and the Trustee for 60 days after its receipt of such notice, request and offer of indemnity shall have failed to institute any such action or proceeding and no direction inconsistent with such written request shall have been given to the Trustee pursuant to Section 5.09; it being understood and intended, and being expressly covenanted by the Holder of every Security of a particular series with every other Holder of Securities of such series and the Trustee, that no one or more Holders of Securities of any series shall have any right in any manner whatever by virtue or by availing of any provision of this Indenture to affect, disturb or prejudice the rights of any other such Holder of Securities of such series, or to obtain or seek to obtain priority over or preference to any other such Holder of such series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spacing w:after="0" w:line="153" w:lineRule="exact"/>
        <w:rPr>
          <w:sz w:val="20"/>
          <w:szCs w:val="20"/>
          <w:color w:val="auto"/>
        </w:rPr>
      </w:pPr>
    </w:p>
    <w:p>
      <w:pPr>
        <w:ind w:firstLine="595"/>
        <w:spacing w:after="0" w:line="282" w:lineRule="auto"/>
        <w:rPr>
          <w:sz w:val="20"/>
          <w:szCs w:val="20"/>
          <w:color w:val="auto"/>
        </w:rPr>
      </w:pPr>
      <w:r>
        <w:rPr>
          <w:rFonts w:ascii="Arial" w:cs="Arial" w:eastAsia="Arial" w:hAnsi="Arial"/>
          <w:sz w:val="15"/>
          <w:szCs w:val="15"/>
          <w:color w:val="auto"/>
        </w:rPr>
        <w:t xml:space="preserve">Section 5.07 </w:t>
      </w:r>
      <w:r>
        <w:rPr>
          <w:rFonts w:ascii="Arial" w:cs="Arial" w:eastAsia="Arial" w:hAnsi="Arial"/>
          <w:sz w:val="15"/>
          <w:szCs w:val="15"/>
          <w:i w:val="1"/>
          <w:iCs w:val="1"/>
          <w:color w:val="auto"/>
        </w:rPr>
        <w:t>Unconditional Right of Securityholders to Institute Certain Suits</w:t>
      </w:r>
      <w:r>
        <w:rPr>
          <w:rFonts w:ascii="Arial" w:cs="Arial" w:eastAsia="Arial" w:hAnsi="Arial"/>
          <w:sz w:val="15"/>
          <w:szCs w:val="15"/>
          <w:color w:val="auto"/>
        </w:rPr>
        <w:t>. Notwithstanding any other provision in this Indenture and any provision of any Security, the right of any Holder of any Security to receive payment of the principal of and interest on such Security on or after the respective due dates expressed in such Security in accordance with the terms hereof and thereof, or to institute suit for the enforcement of any such payment on or after such respective dates, shall not be impaired or affected without the consent of such Holder; it being understood and intended, and being expressly covenanted by the Holder of every Security of a particular series with every other Holder of Securities of such Series and the Trustee, that no one or more Holders of Securities of any series shall have any right in any manner whatever by virtue or by availing of any provision of this Indenture to affect, disturb or prejudice the rights of any other such Holder of Securities of such series, or to obtain or seek to obtain priority over or preference to any other such Holder of Securities of such series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6">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32" w:name="page133"/>
    <w:bookmarkEnd w:id="132"/>
    <w:p>
      <w:pPr>
        <w:ind w:right="80" w:firstLine="595"/>
        <w:spacing w:after="0" w:line="247" w:lineRule="auto"/>
        <w:rPr>
          <w:sz w:val="20"/>
          <w:szCs w:val="20"/>
          <w:color w:val="auto"/>
        </w:rPr>
      </w:pPr>
      <w:r>
        <w:rPr>
          <w:rFonts w:ascii="Arial" w:cs="Arial" w:eastAsia="Arial" w:hAnsi="Arial"/>
          <w:sz w:val="17"/>
          <w:szCs w:val="17"/>
          <w:color w:val="auto"/>
        </w:rPr>
        <w:t xml:space="preserve">Section 5.08 </w:t>
      </w:r>
      <w:r>
        <w:rPr>
          <w:rFonts w:ascii="Arial" w:cs="Arial" w:eastAsia="Arial" w:hAnsi="Arial"/>
          <w:sz w:val="17"/>
          <w:szCs w:val="17"/>
          <w:i w:val="1"/>
          <w:iCs w:val="1"/>
          <w:color w:val="auto"/>
        </w:rPr>
        <w:t>Powers and Remedies Cumulative; Delay or Omission Not Waiver of Default</w:t>
      </w:r>
      <w:r>
        <w:rPr>
          <w:rFonts w:ascii="Arial" w:cs="Arial" w:eastAsia="Arial" w:hAnsi="Arial"/>
          <w:sz w:val="17"/>
          <w:szCs w:val="17"/>
          <w:color w:val="auto"/>
        </w:rPr>
        <w:t>. Except as provided in Section 5.06, no right or remedy herein conferred upon or reserved to the Trustee or to the Holders of Securities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5" w:lineRule="exact"/>
        <w:rPr>
          <w:sz w:val="20"/>
          <w:szCs w:val="20"/>
          <w:color w:val="auto"/>
        </w:rPr>
      </w:pPr>
    </w:p>
    <w:p>
      <w:pPr>
        <w:ind w:right="140" w:firstLine="595"/>
        <w:spacing w:after="0" w:line="283" w:lineRule="auto"/>
        <w:rPr>
          <w:sz w:val="20"/>
          <w:szCs w:val="20"/>
          <w:color w:val="auto"/>
        </w:rPr>
      </w:pPr>
      <w:r>
        <w:rPr>
          <w:rFonts w:ascii="Arial" w:cs="Arial" w:eastAsia="Arial" w:hAnsi="Arial"/>
          <w:sz w:val="15"/>
          <w:szCs w:val="15"/>
          <w:color w:val="auto"/>
        </w:rPr>
        <w:t>No delay or omission of the Trustee or of any Holder of Securities to exercise any right or power accruing upon any Event of Default occurring and continuing as aforesaid shall impair any such right or power or shall be construed to be a waiver of any such Event of Default or an acquiescence therein; and, subject to Section</w:t>
      </w:r>
    </w:p>
    <w:p>
      <w:pPr>
        <w:spacing w:after="0" w:line="1"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5.06, every power and remedy given by this Indenture or by law to the Trustee or to the Holders of Securities may be exercised from time to time, and as often as shall be deemed expedient, by the Trustee or by the Holders of Securities.</w:t>
      </w:r>
    </w:p>
    <w:p>
      <w:pPr>
        <w:spacing w:after="0" w:line="182" w:lineRule="exact"/>
        <w:rPr>
          <w:sz w:val="20"/>
          <w:szCs w:val="20"/>
          <w:color w:val="auto"/>
        </w:rPr>
      </w:pPr>
    </w:p>
    <w:p>
      <w:pPr>
        <w:ind w:right="100" w:firstLine="595"/>
        <w:spacing w:after="0" w:line="281" w:lineRule="auto"/>
        <w:rPr>
          <w:sz w:val="20"/>
          <w:szCs w:val="20"/>
          <w:color w:val="auto"/>
        </w:rPr>
      </w:pPr>
      <w:r>
        <w:rPr>
          <w:rFonts w:ascii="Arial" w:cs="Arial" w:eastAsia="Arial" w:hAnsi="Arial"/>
          <w:sz w:val="15"/>
          <w:szCs w:val="15"/>
          <w:color w:val="auto"/>
        </w:rPr>
        <w:t xml:space="preserve">Section 5.09 </w:t>
      </w:r>
      <w:r>
        <w:rPr>
          <w:rFonts w:ascii="Arial" w:cs="Arial" w:eastAsia="Arial" w:hAnsi="Arial"/>
          <w:sz w:val="15"/>
          <w:szCs w:val="15"/>
          <w:i w:val="1"/>
          <w:iCs w:val="1"/>
          <w:color w:val="auto"/>
        </w:rPr>
        <w:t>Control by Holders of Securities</w:t>
      </w:r>
      <w:r>
        <w:rPr>
          <w:rFonts w:ascii="Arial" w:cs="Arial" w:eastAsia="Arial" w:hAnsi="Arial"/>
          <w:sz w:val="15"/>
          <w:szCs w:val="15"/>
          <w:color w:val="auto"/>
        </w:rPr>
        <w:t xml:space="preserve">. The Holders of a majority in aggregate principal amount of the Securities of each series affected (with each series voting as a separate class) at the time Outstanding shall have the right to direct the time, method and place of conducting any proceeding for any remedy available to the Trustee, or exercising any trust or power conferred on the Trustee with respect to the Securities of such series by this Indenture; </w:t>
      </w:r>
      <w:r>
        <w:rPr>
          <w:rFonts w:ascii="Arial" w:cs="Arial" w:eastAsia="Arial" w:hAnsi="Arial"/>
          <w:sz w:val="15"/>
          <w:szCs w:val="15"/>
          <w:i w:val="1"/>
          <w:iCs w:val="1"/>
          <w:color w:val="auto"/>
        </w:rPr>
        <w:t>provided</w:t>
      </w:r>
      <w:r>
        <w:rPr>
          <w:rFonts w:ascii="Arial" w:cs="Arial" w:eastAsia="Arial" w:hAnsi="Arial"/>
          <w:sz w:val="15"/>
          <w:szCs w:val="15"/>
          <w:color w:val="auto"/>
        </w:rPr>
        <w:t>, that such direction shall not be otherwise than in accordance with law and the provisions of this Indenture and provided, further, that (subject to the provisions of Section 6.01) the Trustee shall have the right to decline to follow any such direction if the Trustee, being advised by counsel, shall determine that the action or proceeding so directed may not lawfully be taken or if the Trustee in good faith by its board of directors, the executive committee, or a trust committee of directors or Responsible Officers of the Trustee shall determine that the action or proceedings so directed would involve the Trustee in personal liability or if the Trustee in good faith shall so determine that the actions or forbearances specified in or pursuant to such direction would be unduly prejudicial to the interests of Holders of the Securities of all series so affected not joining in the giving of said direction, it being understood that (subject to Section 6.01) the Trustee shall have no duty to ascertain whether or not such actions or forbearances are unduly prejudicial to such Holders.</w:t>
      </w:r>
    </w:p>
    <w:p>
      <w:pPr>
        <w:spacing w:after="0" w:line="163" w:lineRule="exact"/>
        <w:rPr>
          <w:sz w:val="20"/>
          <w:szCs w:val="20"/>
          <w:color w:val="auto"/>
        </w:rPr>
      </w:pPr>
    </w:p>
    <w:p>
      <w:pPr>
        <w:ind w:right="20" w:firstLine="595"/>
        <w:spacing w:after="0" w:line="260" w:lineRule="auto"/>
        <w:rPr>
          <w:sz w:val="20"/>
          <w:szCs w:val="20"/>
          <w:color w:val="auto"/>
        </w:rPr>
      </w:pPr>
      <w:r>
        <w:rPr>
          <w:rFonts w:ascii="Arial" w:cs="Arial" w:eastAsia="Arial" w:hAnsi="Arial"/>
          <w:sz w:val="17"/>
          <w:szCs w:val="17"/>
          <w:color w:val="auto"/>
        </w:rPr>
        <w:t>Nothing in this Indenture shall impair the right of the Trustee in its discretion to take any action deemed proper by the Trustee and which is not inconsistent with such direction or directions by Securityholders.</w:t>
      </w:r>
    </w:p>
    <w:p>
      <w:pPr>
        <w:spacing w:after="0" w:line="172" w:lineRule="exact"/>
        <w:rPr>
          <w:sz w:val="20"/>
          <w:szCs w:val="20"/>
          <w:color w:val="auto"/>
        </w:rPr>
      </w:pPr>
    </w:p>
    <w:p>
      <w:pPr>
        <w:ind w:firstLine="595"/>
        <w:spacing w:after="0" w:line="283" w:lineRule="auto"/>
        <w:rPr>
          <w:sz w:val="20"/>
          <w:szCs w:val="20"/>
          <w:color w:val="auto"/>
        </w:rPr>
      </w:pPr>
      <w:r>
        <w:rPr>
          <w:rFonts w:ascii="Arial" w:cs="Arial" w:eastAsia="Arial" w:hAnsi="Arial"/>
          <w:sz w:val="15"/>
          <w:szCs w:val="15"/>
          <w:color w:val="auto"/>
        </w:rPr>
        <w:t xml:space="preserve">Section 5.10 </w:t>
      </w:r>
      <w:r>
        <w:rPr>
          <w:rFonts w:ascii="Arial" w:cs="Arial" w:eastAsia="Arial" w:hAnsi="Arial"/>
          <w:sz w:val="15"/>
          <w:szCs w:val="15"/>
          <w:i w:val="1"/>
          <w:iCs w:val="1"/>
          <w:color w:val="auto"/>
        </w:rPr>
        <w:t>Waiver of Past Defaults</w:t>
      </w:r>
      <w:r>
        <w:rPr>
          <w:rFonts w:ascii="Arial" w:cs="Arial" w:eastAsia="Arial" w:hAnsi="Arial"/>
          <w:sz w:val="15"/>
          <w:szCs w:val="15"/>
          <w:color w:val="auto"/>
        </w:rPr>
        <w:t>. The Holders of a majority in aggregate principal amount of the Securities of any series at the time Outstanding, by notice to the Trustee, may on behalf of the Holders of all the Securities of such series waive any existing default in the performance of any of the covenants contained herein or established pursuant to Section 2.03 with respect to such series and its consequences, except an uncured default in the payment of the principal of, or interest on, any of the Securities of that series as and when the same shall become due by the terms of such Securities; and may rescind an acceleration and its consequences, including any related payment default that resulted from such acceleration. In the case of any such waiver, the Issuer, the Trustee and the Holders of the Securities of such series shall be restored to their former positions and rights hereunder, respectively, such default shall cease to exist and be deemed to have been cured and not to have occurred, and any Event of Default arising therefrom shall be deemed to have been cured, and not to have occurred for every purpose of this Indenture; but no such waiver shall extend to any subsequent or other default or Event of Default or impair any right consequent thereon.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7">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33" w:name="page134"/>
    <w:bookmarkEnd w:id="133"/>
    <w:p>
      <w:pPr>
        <w:ind w:right="60" w:firstLine="595"/>
        <w:spacing w:after="0" w:line="284" w:lineRule="auto"/>
        <w:rPr>
          <w:sz w:val="20"/>
          <w:szCs w:val="20"/>
          <w:color w:val="auto"/>
        </w:rPr>
      </w:pPr>
      <w:r>
        <w:rPr>
          <w:rFonts w:ascii="Arial" w:cs="Arial" w:eastAsia="Arial" w:hAnsi="Arial"/>
          <w:sz w:val="15"/>
          <w:szCs w:val="15"/>
          <w:color w:val="auto"/>
        </w:rPr>
        <w:t xml:space="preserve">Section 5.11 </w:t>
      </w:r>
      <w:r>
        <w:rPr>
          <w:rFonts w:ascii="Arial" w:cs="Arial" w:eastAsia="Arial" w:hAnsi="Arial"/>
          <w:sz w:val="15"/>
          <w:szCs w:val="15"/>
          <w:i w:val="1"/>
          <w:iCs w:val="1"/>
          <w:color w:val="auto"/>
        </w:rPr>
        <w:t>Trustee to Give Notice of Default</w:t>
      </w:r>
      <w:r>
        <w:rPr>
          <w:rFonts w:ascii="Arial" w:cs="Arial" w:eastAsia="Arial" w:hAnsi="Arial"/>
          <w:sz w:val="15"/>
          <w:szCs w:val="15"/>
          <w:color w:val="auto"/>
        </w:rPr>
        <w:t>. The Trustee shall, within 90 days after the occurrence of a default with respect to the Securities of any series, give notice of all defaults with respect to that series known to the Trustee to all Holders of Securities of such series in the manner and to the extent provided in Sections 4.03 and 11.04, unless in each case such defaults shall have been cured before the giving of such notice (the term “</w:t>
      </w:r>
      <w:r>
        <w:rPr>
          <w:rFonts w:ascii="Arial" w:cs="Arial" w:eastAsia="Arial" w:hAnsi="Arial"/>
          <w:sz w:val="15"/>
          <w:szCs w:val="15"/>
          <w:b w:val="1"/>
          <w:bCs w:val="1"/>
          <w:color w:val="auto"/>
        </w:rPr>
        <w:t>defaults</w:t>
      </w:r>
      <w:r>
        <w:rPr>
          <w:rFonts w:ascii="Arial" w:cs="Arial" w:eastAsia="Arial" w:hAnsi="Arial"/>
          <w:sz w:val="15"/>
          <w:szCs w:val="15"/>
          <w:color w:val="auto"/>
        </w:rPr>
        <w:t xml:space="preserve">” for the purpose of this Section being hereby defined to mean any event or condition which is, or with notice or lapse of time or both would become, an Event of Default); </w:t>
      </w:r>
      <w:r>
        <w:rPr>
          <w:rFonts w:ascii="Arial" w:cs="Arial" w:eastAsia="Arial" w:hAnsi="Arial"/>
          <w:sz w:val="15"/>
          <w:szCs w:val="15"/>
          <w:i w:val="1"/>
          <w:iCs w:val="1"/>
          <w:color w:val="auto"/>
        </w:rPr>
        <w:t>provided</w:t>
      </w:r>
      <w:r>
        <w:rPr>
          <w:rFonts w:ascii="Arial" w:cs="Arial" w:eastAsia="Arial" w:hAnsi="Arial"/>
          <w:sz w:val="15"/>
          <w:szCs w:val="15"/>
          <w:color w:val="auto"/>
        </w:rPr>
        <w:t>, that, except in the case of default in the payment of the principal of or interest on any of the Securities of such series, or in the payment of any sinking fund installment on such series,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Securityholders of such series.</w:t>
      </w:r>
    </w:p>
    <w:p>
      <w:pPr>
        <w:spacing w:after="0" w:line="159" w:lineRule="exact"/>
        <w:rPr>
          <w:sz w:val="20"/>
          <w:szCs w:val="20"/>
          <w:color w:val="auto"/>
        </w:rPr>
      </w:pPr>
    </w:p>
    <w:p>
      <w:pPr>
        <w:ind w:right="20" w:firstLine="595"/>
        <w:spacing w:after="0" w:line="283" w:lineRule="auto"/>
        <w:rPr>
          <w:sz w:val="20"/>
          <w:szCs w:val="20"/>
          <w:color w:val="auto"/>
        </w:rPr>
      </w:pPr>
      <w:r>
        <w:rPr>
          <w:rFonts w:ascii="Arial" w:cs="Arial" w:eastAsia="Arial" w:hAnsi="Arial"/>
          <w:sz w:val="15"/>
          <w:szCs w:val="15"/>
          <w:color w:val="auto"/>
        </w:rPr>
        <w:t xml:space="preserve">Section 5.12 </w:t>
      </w:r>
      <w:r>
        <w:rPr>
          <w:rFonts w:ascii="Arial" w:cs="Arial" w:eastAsia="Arial" w:hAnsi="Arial"/>
          <w:sz w:val="15"/>
          <w:szCs w:val="15"/>
          <w:i w:val="1"/>
          <w:iCs w:val="1"/>
          <w:color w:val="auto"/>
        </w:rPr>
        <w:t>Right of Court to Require Filing of Undertaking to Pay Costs</w:t>
      </w:r>
      <w:r>
        <w:rPr>
          <w:rFonts w:ascii="Arial" w:cs="Arial" w:eastAsia="Arial" w:hAnsi="Arial"/>
          <w:sz w:val="15"/>
          <w:szCs w:val="15"/>
          <w:color w:val="auto"/>
        </w:rPr>
        <w:t>. All parties to this Indenture agree, and each Holder of any Security by his or her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of any series holding in the aggregate more than 10% in aggregate principal amount of the Securities of such series, or to any suit instituted by any Securityholder for the enforcement of the payment of the principal of or interest on any Security of such series, on or after the respective due dates expressed in such Security or established pursuant to this Indenture.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6</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CONCERNING THE TRUSTEE</w:t>
      </w:r>
    </w:p>
    <w:p>
      <w:pPr>
        <w:spacing w:after="0" w:line="191" w:lineRule="exact"/>
        <w:rPr>
          <w:sz w:val="20"/>
          <w:szCs w:val="20"/>
          <w:color w:val="auto"/>
        </w:rPr>
      </w:pPr>
    </w:p>
    <w:p>
      <w:pPr>
        <w:ind w:firstLine="595"/>
        <w:spacing w:after="0" w:line="247" w:lineRule="auto"/>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i w:val="1"/>
          <w:iCs w:val="1"/>
          <w:color w:val="auto"/>
        </w:rPr>
        <w:t>Duties and Responsibilities of the Trustee; During Default; Prior to Default</w:t>
      </w:r>
      <w:r>
        <w:rPr>
          <w:rFonts w:ascii="Arial" w:cs="Arial" w:eastAsia="Arial" w:hAnsi="Arial"/>
          <w:sz w:val="17"/>
          <w:szCs w:val="17"/>
          <w:color w:val="auto"/>
        </w:rPr>
        <w:t>. With respect to the Holders of any series of Securities issued hereunder, the Trustee, prior to the occurrence of an Event of Default with respect to the Securities of a particular series and after the curing or waiving of all Events of Default which may have occurred with respect to such series, undertakes to perform such duties and only such duties as are specifically set forth in this Indenture. In case an Event of Default with respect to the Securities of a series has occurred (and has not been cured or waived), the Trustee shall exercise such of the rights and powers vested in it by this Indenture, and use the same degree of care and skill in their exercise, as a prudent person would exercise or use under the circumstances in the conduct of his or her own affairs.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16"/>
          <w:szCs w:val="16"/>
          <w:color w:val="auto"/>
        </w:rPr>
        <w:t>27</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4375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8">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134" w:name="page135"/>
    <w:bookmarkEnd w:id="134"/>
    <w:p>
      <w:pPr>
        <w:ind w:right="380" w:firstLine="595"/>
        <w:spacing w:after="0" w:line="260" w:lineRule="auto"/>
        <w:rPr>
          <w:sz w:val="20"/>
          <w:szCs w:val="20"/>
          <w:color w:val="auto"/>
        </w:rPr>
      </w:pPr>
      <w:r>
        <w:rPr>
          <w:rFonts w:ascii="Arial" w:cs="Arial" w:eastAsia="Arial" w:hAnsi="Arial"/>
          <w:sz w:val="17"/>
          <w:szCs w:val="17"/>
          <w:color w:val="auto"/>
        </w:rPr>
        <w:t>No provision of this Indenture shall be construed to relieve the Trustee from liability for its own negligent action, its own negligent failure to act or its own willful misconduct.</w:t>
      </w:r>
    </w:p>
    <w:p>
      <w:pPr>
        <w:spacing w:after="0" w:line="172" w:lineRule="exact"/>
        <w:rPr>
          <w:sz w:val="20"/>
          <w:szCs w:val="20"/>
          <w:color w:val="auto"/>
        </w:rPr>
      </w:pPr>
    </w:p>
    <w:p>
      <w:pPr>
        <w:ind w:left="600"/>
        <w:spacing w:after="0"/>
        <w:tabs>
          <w:tab w:leader="none" w:pos="1860" w:val="left"/>
        </w:tabs>
        <w:rPr>
          <w:sz w:val="20"/>
          <w:szCs w:val="20"/>
          <w:color w:val="auto"/>
        </w:rPr>
      </w:pPr>
      <w:r>
        <w:rPr>
          <w:rFonts w:ascii="Arial" w:cs="Arial" w:eastAsia="Arial" w:hAnsi="Arial"/>
          <w:sz w:val="17"/>
          <w:szCs w:val="17"/>
          <w:color w:val="auto"/>
        </w:rPr>
        <w:t>Section 6.02</w:t>
      </w:r>
      <w:r>
        <w:rPr>
          <w:sz w:val="20"/>
          <w:szCs w:val="20"/>
          <w:color w:val="auto"/>
        </w:rPr>
        <w:tab/>
      </w:r>
      <w:r>
        <w:rPr>
          <w:rFonts w:ascii="Arial" w:cs="Arial" w:eastAsia="Arial" w:hAnsi="Arial"/>
          <w:sz w:val="14"/>
          <w:szCs w:val="14"/>
          <w:i w:val="1"/>
          <w:iCs w:val="1"/>
          <w:color w:val="auto"/>
        </w:rPr>
        <w:t xml:space="preserve">Certain Rights of the Trustee. </w:t>
      </w:r>
      <w:r>
        <w:rPr>
          <w:rFonts w:ascii="Arial" w:cs="Arial" w:eastAsia="Arial" w:hAnsi="Arial"/>
          <w:sz w:val="14"/>
          <w:szCs w:val="14"/>
          <w:color w:val="auto"/>
        </w:rPr>
        <w:t>In furtherance of and subject to the Trust Indenture Act of 1939 and subject to Section 6.01:</w:t>
      </w:r>
    </w:p>
    <w:p>
      <w:pPr>
        <w:spacing w:after="0" w:line="201" w:lineRule="exact"/>
        <w:rPr>
          <w:sz w:val="20"/>
          <w:szCs w:val="20"/>
          <w:color w:val="auto"/>
        </w:rPr>
      </w:pPr>
    </w:p>
    <w:p>
      <w:pPr>
        <w:jc w:val="both"/>
        <w:ind w:firstLine="1190"/>
        <w:spacing w:after="0" w:line="293" w:lineRule="auto"/>
        <w:tabs>
          <w:tab w:leader="none" w:pos="1601" w:val="left"/>
        </w:tabs>
        <w:numPr>
          <w:ilvl w:val="0"/>
          <w:numId w:val="88"/>
        </w:numPr>
        <w:rPr>
          <w:rFonts w:ascii="Arial" w:cs="Arial" w:eastAsia="Arial" w:hAnsi="Arial"/>
          <w:sz w:val="15"/>
          <w:szCs w:val="15"/>
          <w:color w:val="auto"/>
        </w:rPr>
      </w:pPr>
      <w:r>
        <w:rPr>
          <w:rFonts w:ascii="Arial" w:cs="Arial" w:eastAsia="Arial" w:hAnsi="Arial"/>
          <w:sz w:val="15"/>
          <w:szCs w:val="15"/>
          <w:color w:val="auto"/>
        </w:rPr>
        <w:t>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149" w:lineRule="exact"/>
        <w:rPr>
          <w:rFonts w:ascii="Arial" w:cs="Arial" w:eastAsia="Arial" w:hAnsi="Arial"/>
          <w:sz w:val="15"/>
          <w:szCs w:val="15"/>
          <w:color w:val="auto"/>
        </w:rPr>
      </w:pPr>
    </w:p>
    <w:p>
      <w:pPr>
        <w:ind w:right="360" w:firstLine="1190"/>
        <w:spacing w:after="0" w:line="260" w:lineRule="auto"/>
        <w:tabs>
          <w:tab w:leader="none" w:pos="1611"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171" w:lineRule="exact"/>
        <w:rPr>
          <w:rFonts w:ascii="Arial" w:cs="Arial" w:eastAsia="Arial" w:hAnsi="Arial"/>
          <w:sz w:val="17"/>
          <w:szCs w:val="17"/>
          <w:color w:val="auto"/>
        </w:rPr>
      </w:pPr>
    </w:p>
    <w:p>
      <w:pPr>
        <w:ind w:right="120" w:firstLine="1190"/>
        <w:spacing w:after="0" w:line="252" w:lineRule="auto"/>
        <w:tabs>
          <w:tab w:leader="none" w:pos="1601"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Trustee shall not be liable with respect to any action taken or omitted to be taken by it in good faith in accordance with the direction of the Holders pursuant to Section 5.09 relating to the time, method and place of conducting any proceeding for any remedy available to the Trustee, or exercising any trust or power conferred upon the Trustee, under this Indenture;</w:t>
      </w:r>
    </w:p>
    <w:p>
      <w:pPr>
        <w:spacing w:after="0" w:line="178" w:lineRule="exact"/>
        <w:rPr>
          <w:rFonts w:ascii="Arial" w:cs="Arial" w:eastAsia="Arial" w:hAnsi="Arial"/>
          <w:sz w:val="17"/>
          <w:szCs w:val="17"/>
          <w:color w:val="auto"/>
        </w:rPr>
      </w:pPr>
    </w:p>
    <w:p>
      <w:pPr>
        <w:ind w:right="20" w:firstLine="1190"/>
        <w:spacing w:after="0" w:line="252" w:lineRule="auto"/>
        <w:tabs>
          <w:tab w:leader="none" w:pos="1610" w:val="left"/>
        </w:tabs>
        <w:numPr>
          <w:ilvl w:val="0"/>
          <w:numId w:val="88"/>
        </w:numPr>
        <w:rPr>
          <w:rFonts w:ascii="Arial" w:cs="Arial" w:eastAsia="Arial" w:hAnsi="Arial"/>
          <w:sz w:val="17"/>
          <w:szCs w:val="17"/>
          <w:color w:val="auto"/>
        </w:rPr>
      </w:pPr>
      <w:r>
        <w:rPr>
          <w:rFonts w:ascii="Arial" w:cs="Arial" w:eastAsia="Arial" w:hAnsi="Arial"/>
          <w:sz w:val="17"/>
          <w:szCs w:val="17"/>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shall be reasonable ground for believing that the repayment of such funds or adequate indemnity against such liability is not reasonably assured to it;</w:t>
      </w:r>
    </w:p>
    <w:p>
      <w:pPr>
        <w:spacing w:after="0" w:line="178" w:lineRule="exact"/>
        <w:rPr>
          <w:rFonts w:ascii="Arial" w:cs="Arial" w:eastAsia="Arial" w:hAnsi="Arial"/>
          <w:sz w:val="17"/>
          <w:szCs w:val="17"/>
          <w:color w:val="auto"/>
        </w:rPr>
      </w:pPr>
    </w:p>
    <w:p>
      <w:pPr>
        <w:ind w:right="40" w:firstLine="1190"/>
        <w:spacing w:after="0" w:line="252" w:lineRule="auto"/>
        <w:tabs>
          <w:tab w:leader="none" w:pos="1601"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Trustee may rely and shall be protected in acting or refraining from acting upon any resolution, Officer’s Certificate or any other certificate, statement, instrument, opinion, report, notice, request, consent, order, bond, debenture, note, security or other paper or document believed by it to be genuine and to have been signed or presented by the proper party or parties;</w:t>
      </w:r>
    </w:p>
    <w:p>
      <w:pPr>
        <w:spacing w:after="0" w:line="178" w:lineRule="exact"/>
        <w:rPr>
          <w:rFonts w:ascii="Arial" w:cs="Arial" w:eastAsia="Arial" w:hAnsi="Arial"/>
          <w:sz w:val="17"/>
          <w:szCs w:val="17"/>
          <w:color w:val="auto"/>
        </w:rPr>
      </w:pPr>
    </w:p>
    <w:p>
      <w:pPr>
        <w:ind w:right="20" w:firstLine="1190"/>
        <w:spacing w:after="0" w:line="252" w:lineRule="auto"/>
        <w:tabs>
          <w:tab w:leader="none" w:pos="1604" w:val="left"/>
        </w:tabs>
        <w:numPr>
          <w:ilvl w:val="0"/>
          <w:numId w:val="88"/>
        </w:numPr>
        <w:rPr>
          <w:rFonts w:ascii="Arial" w:cs="Arial" w:eastAsia="Arial" w:hAnsi="Arial"/>
          <w:sz w:val="17"/>
          <w:szCs w:val="17"/>
          <w:color w:val="auto"/>
        </w:rPr>
      </w:pPr>
      <w:r>
        <w:rPr>
          <w:rFonts w:ascii="Arial" w:cs="Arial" w:eastAsia="Arial" w:hAnsi="Arial"/>
          <w:sz w:val="17"/>
          <w:szCs w:val="17"/>
          <w:color w:val="auto"/>
        </w:rPr>
        <w:t>any request, direction, order or demand of the Issuer mentioned herein shall be sufficiently evidenced by an Officer’s Certificate (unless other evidence in respect thereof be herein specifically prescribed); and any resolution of the Board of Directors may be evidenced to the Trustee by a copy thereof certified by the secretary or an assistant secretary of the Issuer;</w:t>
      </w:r>
    </w:p>
    <w:p>
      <w:pPr>
        <w:spacing w:after="0" w:line="178" w:lineRule="exact"/>
        <w:rPr>
          <w:rFonts w:ascii="Arial" w:cs="Arial" w:eastAsia="Arial" w:hAnsi="Arial"/>
          <w:sz w:val="17"/>
          <w:szCs w:val="17"/>
          <w:color w:val="auto"/>
        </w:rPr>
      </w:pPr>
    </w:p>
    <w:p>
      <w:pPr>
        <w:ind w:right="80" w:firstLine="1190"/>
        <w:spacing w:after="0" w:line="327" w:lineRule="auto"/>
        <w:tabs>
          <w:tab w:leader="none" w:pos="1611"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Trustee may consult with counsel and any advice or Opinion of Counsel shall be full and complete authorization and protection in respect of any action taken, suffered or omitted to be taken by it hereunder in good faith and in accordance with such advice or Opinion of Counsel;</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16"/>
          <w:szCs w:val="16"/>
          <w:color w:val="auto"/>
        </w:rPr>
        <w:t>28</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4375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9">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20"/>
          </w:cols>
          <w:pgMar w:left="320" w:top="846" w:right="359" w:bottom="1440" w:gutter="0" w:footer="0" w:header="0"/>
        </w:sectPr>
      </w:pPr>
    </w:p>
    <w:bookmarkStart w:id="135" w:name="page136"/>
    <w:bookmarkEnd w:id="135"/>
    <w:p>
      <w:pPr>
        <w:jc w:val="both"/>
        <w:ind w:right="100" w:firstLine="1190"/>
        <w:spacing w:after="0" w:line="252" w:lineRule="auto"/>
        <w:tabs>
          <w:tab w:leader="none" w:pos="1879"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Trustee shall be under no obligation to exercise any of the trusts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might be incurred therein or thereby;</w:t>
      </w:r>
    </w:p>
    <w:p>
      <w:pPr>
        <w:spacing w:after="0" w:line="178" w:lineRule="exact"/>
        <w:rPr>
          <w:rFonts w:ascii="Arial" w:cs="Arial" w:eastAsia="Arial" w:hAnsi="Arial"/>
          <w:sz w:val="17"/>
          <w:szCs w:val="17"/>
          <w:color w:val="auto"/>
        </w:rPr>
      </w:pPr>
    </w:p>
    <w:p>
      <w:pPr>
        <w:ind w:right="160" w:firstLine="1190"/>
        <w:spacing w:after="0" w:line="260" w:lineRule="auto"/>
        <w:tabs>
          <w:tab w:leader="none" w:pos="1884"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Trustee shall not be liable for any action taken or omitted by it in good faith and believed by it to be authorized or within the discretion, rights or powers conferred upon it by this Indenture;</w:t>
      </w:r>
    </w:p>
    <w:p>
      <w:pPr>
        <w:spacing w:after="0" w:line="171" w:lineRule="exact"/>
        <w:rPr>
          <w:rFonts w:ascii="Arial" w:cs="Arial" w:eastAsia="Arial" w:hAnsi="Arial"/>
          <w:sz w:val="17"/>
          <w:szCs w:val="17"/>
          <w:color w:val="auto"/>
        </w:rPr>
      </w:pPr>
    </w:p>
    <w:p>
      <w:pPr>
        <w:ind w:firstLine="1190"/>
        <w:spacing w:after="0" w:line="307" w:lineRule="auto"/>
        <w:tabs>
          <w:tab w:leader="none" w:pos="1884" w:val="left"/>
        </w:tabs>
        <w:numPr>
          <w:ilvl w:val="0"/>
          <w:numId w:val="89"/>
        </w:numPr>
        <w:rPr>
          <w:rFonts w:ascii="Arial" w:cs="Arial" w:eastAsia="Arial" w:hAnsi="Arial"/>
          <w:sz w:val="14"/>
          <w:szCs w:val="14"/>
          <w:color w:val="auto"/>
        </w:rPr>
      </w:pPr>
      <w:r>
        <w:rPr>
          <w:rFonts w:ascii="Arial" w:cs="Arial" w:eastAsia="Arial" w:hAnsi="Arial"/>
          <w:sz w:val="14"/>
          <w:szCs w:val="14"/>
          <w:color w:val="auto"/>
        </w:rPr>
        <w:t xml:space="preserve">prior to the occurrence of an Event of Default hereunder and after the curing or waiving of all Events of Default, the Trustee shall not be bound to make any investigation into the facts or matters stated in any resolution, certificate, statement, instrument, opinion, report, notice, request, consent, order, approval, appraisal, bond, debenture, note, security, or other paper or document unless requested in writing so to do by the Holders of not less than a majority in aggregate principal amount of the Securities of all series affected then Outstanding; </w:t>
      </w:r>
      <w:r>
        <w:rPr>
          <w:rFonts w:ascii="Arial" w:cs="Arial" w:eastAsia="Arial" w:hAnsi="Arial"/>
          <w:sz w:val="14"/>
          <w:szCs w:val="14"/>
          <w:i w:val="1"/>
          <w:iCs w:val="1"/>
          <w:color w:val="auto"/>
        </w:rPr>
        <w:t>provided</w:t>
      </w:r>
      <w:r>
        <w:rPr>
          <w:rFonts w:ascii="Arial" w:cs="Arial" w:eastAsia="Arial" w:hAnsi="Arial"/>
          <w:sz w:val="14"/>
          <w:szCs w:val="14"/>
          <w:color w:val="auto"/>
        </w:rPr>
        <w:t>,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the reasonable expenses of every such investigation shall be paid by the Issuer or, if paid by the Trustee or any predecessor trustee, shall be repaid by the Issuer upon demand; and</w:t>
      </w:r>
    </w:p>
    <w:p>
      <w:pPr>
        <w:spacing w:after="0" w:line="146" w:lineRule="exact"/>
        <w:rPr>
          <w:rFonts w:ascii="Arial" w:cs="Arial" w:eastAsia="Arial" w:hAnsi="Arial"/>
          <w:sz w:val="14"/>
          <w:szCs w:val="14"/>
          <w:color w:val="auto"/>
        </w:rPr>
      </w:pPr>
    </w:p>
    <w:p>
      <w:pPr>
        <w:ind w:right="200" w:firstLine="1190"/>
        <w:spacing w:after="0" w:line="252" w:lineRule="auto"/>
        <w:tabs>
          <w:tab w:leader="none" w:pos="1879"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w:t>
      </w:r>
    </w:p>
    <w:p>
      <w:pPr>
        <w:spacing w:after="0" w:line="178" w:lineRule="exact"/>
        <w:rPr>
          <w:sz w:val="20"/>
          <w:szCs w:val="20"/>
          <w:color w:val="auto"/>
        </w:rPr>
      </w:pPr>
    </w:p>
    <w:p>
      <w:pPr>
        <w:ind w:right="20" w:firstLine="595"/>
        <w:spacing w:after="0" w:line="249"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i w:val="1"/>
          <w:iCs w:val="1"/>
          <w:color w:val="auto"/>
        </w:rPr>
        <w:t>Trustee Not Responsible for Recitals, Disposition of Securities or Application of Proceeds Thereof.</w:t>
      </w:r>
      <w:r>
        <w:rPr>
          <w:rFonts w:ascii="Arial" w:cs="Arial" w:eastAsia="Arial" w:hAnsi="Arial"/>
          <w:sz w:val="17"/>
          <w:szCs w:val="17"/>
          <w:color w:val="auto"/>
        </w:rPr>
        <w:t xml:space="preserve"> The recitals contained herein and in the Securities, except the Trustee’s certificates of authentication, shall be taken as the statements of the Issuer, and the Trustee assumes no responsibility for the correctness of the same. The Trustee makes no representation as to the validity or sufficiency of this Indenture or of the Securities. The Trustee shall not be accountable for the use or application by the Issuer of any of the Securities or of the proceeds thereof.</w:t>
      </w:r>
    </w:p>
    <w:p>
      <w:pPr>
        <w:spacing w:after="0" w:line="181" w:lineRule="exact"/>
        <w:rPr>
          <w:sz w:val="20"/>
          <w:szCs w:val="20"/>
          <w:color w:val="auto"/>
        </w:rPr>
      </w:pPr>
    </w:p>
    <w:p>
      <w:pPr>
        <w:ind w:right="40" w:firstLine="595"/>
        <w:spacing w:after="0" w:line="301" w:lineRule="auto"/>
        <w:rPr>
          <w:sz w:val="20"/>
          <w:szCs w:val="20"/>
          <w:color w:val="auto"/>
        </w:rPr>
      </w:pPr>
      <w:r>
        <w:rPr>
          <w:rFonts w:ascii="Arial" w:cs="Arial" w:eastAsia="Arial" w:hAnsi="Arial"/>
          <w:sz w:val="15"/>
          <w:szCs w:val="15"/>
          <w:color w:val="auto"/>
        </w:rPr>
        <w:t xml:space="preserve">Section 6.04 </w:t>
      </w:r>
      <w:r>
        <w:rPr>
          <w:rFonts w:ascii="Arial" w:cs="Arial" w:eastAsia="Arial" w:hAnsi="Arial"/>
          <w:sz w:val="15"/>
          <w:szCs w:val="15"/>
          <w:i w:val="1"/>
          <w:iCs w:val="1"/>
          <w:color w:val="auto"/>
        </w:rPr>
        <w:t>Trustee and Agents May Hold Securities; Collections, Etc.</w:t>
      </w:r>
      <w:r>
        <w:rPr>
          <w:rFonts w:ascii="Arial" w:cs="Arial" w:eastAsia="Arial" w:hAnsi="Arial"/>
          <w:sz w:val="15"/>
          <w:szCs w:val="15"/>
          <w:color w:val="auto"/>
        </w:rPr>
        <w:t xml:space="preserve"> The Trustee or any agent of the Issuer or the Trustee, in its individual or any other capacity, may become the owner or pledgee of Securities with the same rights it would have if it were not the Trustee or such agent and may otherwise deal with the Issuer and receive, collect, hold and retain collections from the Issuer with the same rights it would have if it were not the Trustee or such agent.</w:t>
      </w:r>
    </w:p>
    <w:p>
      <w:pPr>
        <w:spacing w:after="0" w:line="145" w:lineRule="exact"/>
        <w:rPr>
          <w:sz w:val="20"/>
          <w:szCs w:val="20"/>
          <w:color w:val="auto"/>
        </w:rPr>
      </w:pPr>
    </w:p>
    <w:p>
      <w:pPr>
        <w:jc w:val="both"/>
        <w:ind w:right="100" w:firstLine="595"/>
        <w:spacing w:after="0" w:line="301" w:lineRule="auto"/>
        <w:rPr>
          <w:sz w:val="20"/>
          <w:szCs w:val="20"/>
          <w:color w:val="auto"/>
        </w:rPr>
      </w:pPr>
      <w:r>
        <w:rPr>
          <w:rFonts w:ascii="Arial" w:cs="Arial" w:eastAsia="Arial" w:hAnsi="Arial"/>
          <w:sz w:val="15"/>
          <w:szCs w:val="15"/>
          <w:color w:val="auto"/>
        </w:rPr>
        <w:t xml:space="preserve">Section 6.05 </w:t>
      </w:r>
      <w:r>
        <w:rPr>
          <w:rFonts w:ascii="Arial" w:cs="Arial" w:eastAsia="Arial" w:hAnsi="Arial"/>
          <w:sz w:val="15"/>
          <w:szCs w:val="15"/>
          <w:i w:val="1"/>
          <w:iCs w:val="1"/>
          <w:color w:val="auto"/>
        </w:rPr>
        <w:t>Moneys Held by Trustee.</w:t>
      </w:r>
      <w:r>
        <w:rPr>
          <w:rFonts w:ascii="Arial" w:cs="Arial" w:eastAsia="Arial" w:hAnsi="Arial"/>
          <w:sz w:val="15"/>
          <w:szCs w:val="15"/>
          <w:color w:val="auto"/>
        </w:rPr>
        <w:t xml:space="preserve"> Subject to the provisions of Section 10.04 hereof, all moneys received by the Trustee shall, until used or applied as herein provided, be held in trust for the purposes for which they were received, but need not be segregated from other funds except to the extent required by mandatory provisions of law. Neither the Trustee nor any agent of the Issuer or the Trustee shall be under any liability for interest on any moneys received by it hereunder.</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16"/>
          <w:szCs w:val="16"/>
          <w:color w:val="auto"/>
        </w:rPr>
        <w:t>29</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4375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0">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36" w:name="page137"/>
    <w:bookmarkEnd w:id="136"/>
    <w:p>
      <w:pPr>
        <w:ind w:firstLine="595"/>
        <w:spacing w:after="0" w:line="280" w:lineRule="auto"/>
        <w:rPr>
          <w:sz w:val="20"/>
          <w:szCs w:val="20"/>
          <w:color w:val="auto"/>
        </w:rPr>
      </w:pPr>
      <w:r>
        <w:rPr>
          <w:rFonts w:ascii="Arial" w:cs="Arial" w:eastAsia="Arial" w:hAnsi="Arial"/>
          <w:sz w:val="15"/>
          <w:szCs w:val="15"/>
          <w:color w:val="auto"/>
        </w:rPr>
        <w:t xml:space="preserve">Section 6.06 </w:t>
      </w:r>
      <w:r>
        <w:rPr>
          <w:rFonts w:ascii="Arial" w:cs="Arial" w:eastAsia="Arial" w:hAnsi="Arial"/>
          <w:sz w:val="15"/>
          <w:szCs w:val="15"/>
          <w:i w:val="1"/>
          <w:iCs w:val="1"/>
          <w:color w:val="auto"/>
        </w:rPr>
        <w:t>Compensation and Indemnification of Trustee and Its Prior Claim.</w:t>
      </w:r>
      <w:r>
        <w:rPr>
          <w:rFonts w:ascii="Arial" w:cs="Arial" w:eastAsia="Arial" w:hAnsi="Arial"/>
          <w:sz w:val="15"/>
          <w:szCs w:val="15"/>
          <w:color w:val="auto"/>
        </w:rPr>
        <w:t xml:space="preserve"> The Issuer covenants and agrees to pay to the Trustee from time to time, and the Trustee shall be entitled to, such reasonable compensation (which shall not be limited by any provision of law in regard to the compensation of a trustee of an express trust) as the Issuer and the Trustee may from time to time agree in writing and, except as otherwise expressly provided herein, the Issuer covenants and agrees to pay or reimburse the Trustee and each predecessor trustee upon its request for all reasonable expenses, disbursements and advances incurred or made by or on behalf of it in accordance with any of the provisions of this Indenture (including the reasonable compensation and the expenses and disbursements of its counsel and of all agents and other persons not regularly in its employ) except any such expense, disbursement or advance as may arise from its negligence or bad faith. The Issuer also covenants to indemnify the Trustee and each predecessor trustee for, and to hold it harmless against, any loss, liability or expense incurred without negligence or bad faith on its part, arising out of or in connection with the acceptance or administration of this Indenture or the trusts hereunder and its duties hereunder, including the costs and expenses of defending itself against or investigating any claim of liability in the premises. The obligations of the Issuer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Such additional indebtedness shall be a senior claim to that of the Securities upon all property and funds held or collected by the Trustee as such, except funds held in trust for the benefit of the Holders of particular Securities, and the Securities are hereby subordinated to such senior claim.</w:t>
      </w:r>
    </w:p>
    <w:p>
      <w:pPr>
        <w:spacing w:after="0" w:line="162" w:lineRule="exact"/>
        <w:rPr>
          <w:sz w:val="20"/>
          <w:szCs w:val="20"/>
          <w:color w:val="auto"/>
        </w:rPr>
      </w:pPr>
    </w:p>
    <w:p>
      <w:pPr>
        <w:ind w:right="80" w:firstLine="595"/>
        <w:spacing w:after="0" w:line="288" w:lineRule="auto"/>
        <w:rPr>
          <w:sz w:val="20"/>
          <w:szCs w:val="20"/>
          <w:color w:val="auto"/>
        </w:rPr>
      </w:pPr>
      <w:r>
        <w:rPr>
          <w:rFonts w:ascii="Arial" w:cs="Arial" w:eastAsia="Arial" w:hAnsi="Arial"/>
          <w:sz w:val="15"/>
          <w:szCs w:val="15"/>
          <w:color w:val="auto"/>
        </w:rPr>
        <w:t xml:space="preserve">Section 6.07 </w:t>
      </w:r>
      <w:r>
        <w:rPr>
          <w:rFonts w:ascii="Arial" w:cs="Arial" w:eastAsia="Arial" w:hAnsi="Arial"/>
          <w:sz w:val="15"/>
          <w:szCs w:val="15"/>
          <w:i w:val="1"/>
          <w:iCs w:val="1"/>
          <w:color w:val="auto"/>
        </w:rPr>
        <w:t>Right of Trustee to Rely on Officer’s Certificate, Etc.</w:t>
      </w:r>
      <w:r>
        <w:rPr>
          <w:rFonts w:ascii="Arial" w:cs="Arial" w:eastAsia="Arial" w:hAnsi="Arial"/>
          <w:sz w:val="15"/>
          <w:szCs w:val="15"/>
          <w:color w:val="auto"/>
        </w:rPr>
        <w:t xml:space="preserve"> Subject to Sections 6.01 and 6.02,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spacing w:after="0" w:line="156" w:lineRule="exact"/>
        <w:rPr>
          <w:sz w:val="20"/>
          <w:szCs w:val="20"/>
          <w:color w:val="auto"/>
        </w:rPr>
      </w:pPr>
    </w:p>
    <w:p>
      <w:pPr>
        <w:ind w:right="160" w:firstLine="595"/>
        <w:spacing w:after="0" w:line="327" w:lineRule="auto"/>
        <w:rPr>
          <w:sz w:val="20"/>
          <w:szCs w:val="20"/>
          <w:color w:val="auto"/>
        </w:rPr>
      </w:pPr>
      <w:r>
        <w:rPr>
          <w:rFonts w:ascii="Arial" w:cs="Arial" w:eastAsia="Arial" w:hAnsi="Arial"/>
          <w:sz w:val="15"/>
          <w:szCs w:val="15"/>
          <w:color w:val="auto"/>
        </w:rPr>
        <w:t xml:space="preserve">Section 6.08 </w:t>
      </w:r>
      <w:r>
        <w:rPr>
          <w:rFonts w:ascii="Arial" w:cs="Arial" w:eastAsia="Arial" w:hAnsi="Arial"/>
          <w:sz w:val="15"/>
          <w:szCs w:val="15"/>
          <w:i w:val="1"/>
          <w:iCs w:val="1"/>
          <w:color w:val="auto"/>
        </w:rPr>
        <w:t>Disqualification; Conflicting Interests.</w:t>
      </w:r>
      <w:r>
        <w:rPr>
          <w:rFonts w:ascii="Arial" w:cs="Arial" w:eastAsia="Arial" w:hAnsi="Arial"/>
          <w:sz w:val="15"/>
          <w:szCs w:val="15"/>
          <w:color w:val="auto"/>
        </w:rPr>
        <w:t xml:space="preserve"> If the Trustee has or shall acquire any "conflicting interest" within the meaning of Section 310(b) of the Trust Indenture Act, the Trustee and the Issuer shall in all respects comply with the provisions of Section 310(b) of the Trust Indenture Act.</w:t>
      </w:r>
    </w:p>
    <w:p>
      <w:pPr>
        <w:spacing w:after="0" w:line="125" w:lineRule="exact"/>
        <w:rPr>
          <w:sz w:val="20"/>
          <w:szCs w:val="20"/>
          <w:color w:val="auto"/>
        </w:rPr>
      </w:pPr>
    </w:p>
    <w:p>
      <w:pPr>
        <w:ind w:right="80" w:firstLine="595"/>
        <w:spacing w:after="0" w:line="247" w:lineRule="auto"/>
        <w:rPr>
          <w:sz w:val="20"/>
          <w:szCs w:val="20"/>
          <w:color w:val="auto"/>
        </w:rPr>
      </w:pPr>
      <w:r>
        <w:rPr>
          <w:rFonts w:ascii="Arial" w:cs="Arial" w:eastAsia="Arial" w:hAnsi="Arial"/>
          <w:sz w:val="17"/>
          <w:szCs w:val="17"/>
          <w:color w:val="auto"/>
        </w:rPr>
        <w:t xml:space="preserve">Section 6.09 </w:t>
      </w:r>
      <w:r>
        <w:rPr>
          <w:rFonts w:ascii="Arial" w:cs="Arial" w:eastAsia="Arial" w:hAnsi="Arial"/>
          <w:sz w:val="17"/>
          <w:szCs w:val="17"/>
          <w:i w:val="1"/>
          <w:iCs w:val="1"/>
          <w:color w:val="auto"/>
        </w:rPr>
        <w:t>Persons Eligible for Appointment as Trustee.</w:t>
      </w:r>
      <w:r>
        <w:rPr>
          <w:rFonts w:ascii="Arial" w:cs="Arial" w:eastAsia="Arial" w:hAnsi="Arial"/>
          <w:sz w:val="17"/>
          <w:szCs w:val="17"/>
          <w:color w:val="auto"/>
        </w:rPr>
        <w:t xml:space="preserve"> The Trustee for each series of Securities hereunder shall at all times be a corporation having a combined capital and surplus of at least $50,000,000 and shall be eligible in accordance with the provisions of Section 310(a) of the Trust Indenture Act of 1939. If such corporation publishes reports of condition at least annually, pursuant to law or to the requirements of a Federal, State or District of Columbia supervising or examining authority, then, for the purposes of this Section, the combined capital and surplus of such corporation shall be deemed to be its combined capital and surplus as set forth in its most recent report of condition so published.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16"/>
          <w:szCs w:val="16"/>
          <w:color w:val="auto"/>
        </w:rPr>
        <w:t>30</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4375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1">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37" w:name="page138"/>
    <w:bookmarkEnd w:id="137"/>
    <w:p>
      <w:pPr>
        <w:ind w:firstLine="595"/>
        <w:spacing w:after="0" w:line="282" w:lineRule="auto"/>
        <w:rPr>
          <w:sz w:val="20"/>
          <w:szCs w:val="20"/>
          <w:color w:val="auto"/>
        </w:rPr>
      </w:pPr>
      <w:r>
        <w:rPr>
          <w:rFonts w:ascii="Arial" w:cs="Arial" w:eastAsia="Arial" w:hAnsi="Arial"/>
          <w:sz w:val="15"/>
          <w:szCs w:val="15"/>
          <w:color w:val="auto"/>
        </w:rPr>
        <w:t xml:space="preserve">Section 6.10 </w:t>
      </w:r>
      <w:r>
        <w:rPr>
          <w:rFonts w:ascii="Arial" w:cs="Arial" w:eastAsia="Arial" w:hAnsi="Arial"/>
          <w:sz w:val="15"/>
          <w:szCs w:val="15"/>
          <w:i w:val="1"/>
          <w:iCs w:val="1"/>
          <w:color w:val="auto"/>
        </w:rPr>
        <w:t>Resignation and Removal; Appointment of Successor Trustee.</w:t>
      </w:r>
      <w:r>
        <w:rPr>
          <w:rFonts w:ascii="Arial" w:cs="Arial" w:eastAsia="Arial" w:hAnsi="Arial"/>
          <w:sz w:val="15"/>
          <w:szCs w:val="15"/>
          <w:color w:val="auto"/>
        </w:rPr>
        <w:t xml:space="preserve"> (a) The Trustee, or any trustee or trustees hereafter appointed, may at any time resign with respect to one or more or all series of Securities by giving written notice of resignation to the Issuer and by delivering notice of such resignation to the Holders of then Outstanding Securities of each series affected at their addresses as they shall appear on the Security register. Upon receiving such notice of resignation, the Issuer shall promptly appoint a successor trustee or trustees with respect to the applicable series by written instrument in duplicate, executed by authority of the Board of Directors, one copy of which instrument shall be delivered to the resigning Trustee and one copy to the successor trustee or trustees. If no successor trustee shall have been so appointed with respect to any series and have accepted appointment within 30 days after the delivery of such notice of resignation, the resigning trustee may petition any court of competent jurisdiction for the appointment of a successor trustee, or any Securityholder who has been a bona fide Holder of a Security or Securities of the applicable series for at least six months may, on behalf of himself or herself and all others similarly situated, petition any such court for the appointment of a successor trustee. Such court may thereupon, after such notice, if any, as it may deem proper and prescribe, appoint a successor trustee.</w:t>
      </w:r>
    </w:p>
    <w:p>
      <w:pPr>
        <w:spacing w:after="0" w:line="160" w:lineRule="exact"/>
        <w:rPr>
          <w:sz w:val="20"/>
          <w:szCs w:val="20"/>
          <w:color w:val="auto"/>
        </w:rPr>
      </w:pPr>
    </w:p>
    <w:p>
      <w:pPr>
        <w:ind w:left="1840" w:hanging="650"/>
        <w:spacing w:after="0"/>
        <w:tabs>
          <w:tab w:leader="none" w:pos="18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In case at any time any of the following shall occur:</w:t>
      </w:r>
    </w:p>
    <w:p>
      <w:pPr>
        <w:spacing w:after="0" w:line="201" w:lineRule="exact"/>
        <w:rPr>
          <w:rFonts w:ascii="Arial" w:cs="Arial" w:eastAsia="Arial" w:hAnsi="Arial"/>
          <w:sz w:val="17"/>
          <w:szCs w:val="17"/>
          <w:color w:val="auto"/>
        </w:rPr>
      </w:pPr>
    </w:p>
    <w:p>
      <w:pPr>
        <w:ind w:left="1200" w:firstLine="585"/>
        <w:spacing w:after="0" w:line="252" w:lineRule="auto"/>
        <w:tabs>
          <w:tab w:leader="none" w:pos="2488" w:val="left"/>
        </w:tabs>
        <w:numPr>
          <w:ilvl w:val="1"/>
          <w:numId w:val="90"/>
        </w:numPr>
        <w:rPr>
          <w:rFonts w:ascii="Arial" w:cs="Arial" w:eastAsia="Arial" w:hAnsi="Arial"/>
          <w:sz w:val="17"/>
          <w:szCs w:val="17"/>
          <w:color w:val="auto"/>
        </w:rPr>
      </w:pPr>
      <w:r>
        <w:rPr>
          <w:rFonts w:ascii="Arial" w:cs="Arial" w:eastAsia="Arial" w:hAnsi="Arial"/>
          <w:sz w:val="17"/>
          <w:szCs w:val="17"/>
          <w:color w:val="auto"/>
        </w:rPr>
        <w:t>the Trustee shall fail to comply with the provisions of Section 310(b) of the Trust Indenture Act of 1939 with respect to any series of Securities after written request therefor by the Issuer or by any Securityholder who has been a bona fide Holder of a Security or Securities of such series for at least six months; or</w:t>
      </w:r>
    </w:p>
    <w:p>
      <w:pPr>
        <w:spacing w:after="0" w:line="178" w:lineRule="exact"/>
        <w:rPr>
          <w:rFonts w:ascii="Arial" w:cs="Arial" w:eastAsia="Arial" w:hAnsi="Arial"/>
          <w:sz w:val="17"/>
          <w:szCs w:val="17"/>
          <w:color w:val="auto"/>
        </w:rPr>
      </w:pPr>
    </w:p>
    <w:p>
      <w:pPr>
        <w:ind w:left="1200" w:right="320" w:firstLine="585"/>
        <w:spacing w:after="0" w:line="260" w:lineRule="auto"/>
        <w:tabs>
          <w:tab w:leader="none" w:pos="2493" w:val="left"/>
        </w:tabs>
        <w:numPr>
          <w:ilvl w:val="1"/>
          <w:numId w:val="90"/>
        </w:numPr>
        <w:rPr>
          <w:rFonts w:ascii="Arial" w:cs="Arial" w:eastAsia="Arial" w:hAnsi="Arial"/>
          <w:sz w:val="17"/>
          <w:szCs w:val="17"/>
          <w:color w:val="auto"/>
        </w:rPr>
      </w:pPr>
      <w:r>
        <w:rPr>
          <w:rFonts w:ascii="Arial" w:cs="Arial" w:eastAsia="Arial" w:hAnsi="Arial"/>
          <w:sz w:val="17"/>
          <w:szCs w:val="17"/>
          <w:color w:val="auto"/>
        </w:rPr>
        <w:t>the Trustee shall cease to be eligible in accordance with the provisions of Section 310(a) of the Trust Indenture Act of 1939 and shall fail to resign after written request therefor by the Issuer or by any Securityholder; or</w:t>
      </w:r>
    </w:p>
    <w:p>
      <w:pPr>
        <w:spacing w:after="0" w:line="171" w:lineRule="exact"/>
        <w:rPr>
          <w:rFonts w:ascii="Arial" w:cs="Arial" w:eastAsia="Arial" w:hAnsi="Arial"/>
          <w:sz w:val="17"/>
          <w:szCs w:val="17"/>
          <w:color w:val="auto"/>
        </w:rPr>
      </w:pPr>
    </w:p>
    <w:p>
      <w:pPr>
        <w:ind w:left="1200" w:right="20" w:firstLine="585"/>
        <w:spacing w:after="0" w:line="252" w:lineRule="auto"/>
        <w:tabs>
          <w:tab w:leader="none" w:pos="2498" w:val="left"/>
        </w:tabs>
        <w:numPr>
          <w:ilvl w:val="1"/>
          <w:numId w:val="90"/>
        </w:numPr>
        <w:rPr>
          <w:rFonts w:ascii="Arial" w:cs="Arial" w:eastAsia="Arial" w:hAnsi="Arial"/>
          <w:sz w:val="17"/>
          <w:szCs w:val="17"/>
          <w:color w:val="auto"/>
        </w:rPr>
      </w:pPr>
      <w:r>
        <w:rPr>
          <w:rFonts w:ascii="Arial" w:cs="Arial" w:eastAsia="Arial" w:hAnsi="Arial"/>
          <w:sz w:val="17"/>
          <w:szCs w:val="17"/>
          <w:color w:val="auto"/>
        </w:rPr>
        <w:t>the Trustee shall become incapable of acting with respect to any series of Securities, or shall be adjudged bankrupt or insolvent, or a receiver or liquidator of the Trustee or of its property shall be appointed, or any public officer shall take charge or control of the Trustee or of its property or affairs for the purpose of rehabilitation, conservation or liquidation;</w:t>
      </w:r>
    </w:p>
    <w:p>
      <w:pPr>
        <w:spacing w:after="0" w:line="178" w:lineRule="exact"/>
        <w:rPr>
          <w:sz w:val="20"/>
          <w:szCs w:val="20"/>
          <w:color w:val="auto"/>
        </w:rPr>
      </w:pPr>
    </w:p>
    <w:p>
      <w:pPr>
        <w:ind w:right="100"/>
        <w:spacing w:after="0" w:line="286" w:lineRule="auto"/>
        <w:rPr>
          <w:sz w:val="20"/>
          <w:szCs w:val="20"/>
          <w:color w:val="auto"/>
        </w:rPr>
      </w:pPr>
      <w:r>
        <w:rPr>
          <w:rFonts w:ascii="Arial" w:cs="Arial" w:eastAsia="Arial" w:hAnsi="Arial"/>
          <w:sz w:val="15"/>
          <w:szCs w:val="15"/>
          <w:color w:val="auto"/>
        </w:rPr>
        <w:t>then, in any such case, (A) the Issuer may remove the Trustee with respect to the applicable series of Securities and appoint a successor trustee for such series by written instrument, in duplicate, executed by order of the Board of Directors, one copy of which instrument shall be delivered to the Trustee so removed and one copy to the successor trustee, or, (B) subject to Section 315(e) of the Trust Indenture Act of 1939, any Securityholder who has been a bona fide Holder of a Security or Securities of such series for at least six months may on behalf of itself and all others similarly situated, petition any court of competent jurisdiction for the removal of the Trustee and the appointment of a successor trustee with respect to such series. Such court may thereupon, after such notice, if any, as it may deem proper and prescribe, remove the Trustee and appoint a successor trustee.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16"/>
          <w:szCs w:val="16"/>
          <w:color w:val="auto"/>
        </w:rPr>
        <w:t>31</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4375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2">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38" w:name="page139"/>
    <w:bookmarkEnd w:id="138"/>
    <w:p>
      <w:pPr>
        <w:jc w:val="both"/>
        <w:ind w:right="60" w:firstLine="1190"/>
        <w:spacing w:after="0" w:line="249" w:lineRule="auto"/>
        <w:tabs>
          <w:tab w:leader="none" w:pos="1829"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Holders of a majority in aggregate principal amount of the Securities of each series at the time Outstanding may at any time remove the Trustee with respect to Securities of such series and, with the consent of the Issuer, appoint a successor trustee with respect to the Securities of such series by delivering to the Trustee so removed, to the successor trustee so appointed and to the Issuer the evidence provided for in Section 7.01 of the action in that regard taken by the Securityholders.</w:t>
      </w:r>
    </w:p>
    <w:p>
      <w:pPr>
        <w:spacing w:after="0" w:line="181" w:lineRule="exact"/>
        <w:rPr>
          <w:rFonts w:ascii="Arial" w:cs="Arial" w:eastAsia="Arial" w:hAnsi="Arial"/>
          <w:sz w:val="17"/>
          <w:szCs w:val="17"/>
          <w:color w:val="auto"/>
        </w:rPr>
      </w:pPr>
    </w:p>
    <w:p>
      <w:pPr>
        <w:ind w:right="180" w:firstLine="1190"/>
        <w:spacing w:after="0" w:line="367" w:lineRule="auto"/>
        <w:tabs>
          <w:tab w:leader="none" w:pos="1838" w:val="left"/>
        </w:tabs>
        <w:numPr>
          <w:ilvl w:val="0"/>
          <w:numId w:val="91"/>
        </w:numPr>
        <w:rPr>
          <w:rFonts w:ascii="Arial" w:cs="Arial" w:eastAsia="Arial" w:hAnsi="Arial"/>
          <w:sz w:val="14"/>
          <w:szCs w:val="14"/>
          <w:color w:val="auto"/>
        </w:rPr>
      </w:pPr>
      <w:r>
        <w:rPr>
          <w:rFonts w:ascii="Arial" w:cs="Arial" w:eastAsia="Arial" w:hAnsi="Arial"/>
          <w:sz w:val="14"/>
          <w:szCs w:val="14"/>
          <w:color w:val="auto"/>
        </w:rPr>
        <w:t>Any resignation or removal of the Trustee with respect to any series and any appointment of a successor trustee with respect to such series pursuant to any of the provisions of this Section 6.10 shall become effective upon acceptance of appointment by the successor trustee as provided in Section 6.11.</w:t>
      </w:r>
    </w:p>
    <w:p>
      <w:pPr>
        <w:spacing w:after="0" w:line="103" w:lineRule="exact"/>
        <w:rPr>
          <w:sz w:val="20"/>
          <w:szCs w:val="20"/>
          <w:color w:val="auto"/>
        </w:rPr>
      </w:pPr>
    </w:p>
    <w:p>
      <w:pPr>
        <w:ind w:firstLine="595"/>
        <w:spacing w:after="0" w:line="282" w:lineRule="auto"/>
        <w:rPr>
          <w:sz w:val="20"/>
          <w:szCs w:val="20"/>
          <w:color w:val="auto"/>
        </w:rPr>
      </w:pPr>
      <w:r>
        <w:rPr>
          <w:rFonts w:ascii="Arial" w:cs="Arial" w:eastAsia="Arial" w:hAnsi="Arial"/>
          <w:sz w:val="15"/>
          <w:szCs w:val="15"/>
          <w:color w:val="auto"/>
        </w:rPr>
        <w:t xml:space="preserve">Section 6.11 </w:t>
      </w:r>
      <w:r>
        <w:rPr>
          <w:rFonts w:ascii="Arial" w:cs="Arial" w:eastAsia="Arial" w:hAnsi="Arial"/>
          <w:sz w:val="15"/>
          <w:szCs w:val="15"/>
          <w:i w:val="1"/>
          <w:iCs w:val="1"/>
          <w:color w:val="auto"/>
        </w:rPr>
        <w:t>Acceptance of Appointment by Successor Trustee.</w:t>
      </w:r>
      <w:r>
        <w:rPr>
          <w:rFonts w:ascii="Arial" w:cs="Arial" w:eastAsia="Arial" w:hAnsi="Arial"/>
          <w:sz w:val="15"/>
          <w:szCs w:val="15"/>
          <w:color w:val="auto"/>
        </w:rPr>
        <w:t xml:space="preserve"> Any successor trustee appointed as provided in Section 6.10 shall execute and deliver to the Issuer and to its predecessor trustee an instrument accepting such appointment hereunder, and thereupon the resignation or removal of the predecessor trustee with respect to all or any applicable series shall become effective and such successor trustee, without any further act, deed or conveyance, shall become vested with all rights, powers, duties and obligations with respect to such series of its predecessor hereunder, with like effect as if originally named as trustee for such series hereunder; but, nevertheless, on the written request of the Issuer or of the successor trustee, upon payment of its charges then unpaid, the trustee ceasing to act shall, subject to Section 10.04, pay over to the successor trustee all moneys at the time held by it hereunder and shall execute and deliver an instrument transferring to such successor trustee all such rights, powers, duties and obligations. Upon request of any such successor trustee, the Issuer shall execute any and all instruments in writing for more fully and certainly vesting in and confirming to such successor trustee all such rights and powers. Any trustee ceasing to act shall, nevertheless, retain a prior claim upon all property or funds held or collected by such trustee to secure any amounts then due it pursuant to the provisions of Section 6.06.</w:t>
      </w:r>
    </w:p>
    <w:p>
      <w:pPr>
        <w:spacing w:after="0" w:line="160" w:lineRule="exact"/>
        <w:rPr>
          <w:sz w:val="20"/>
          <w:szCs w:val="20"/>
          <w:color w:val="auto"/>
        </w:rPr>
      </w:pPr>
    </w:p>
    <w:p>
      <w:pPr>
        <w:ind w:right="40" w:firstLine="595"/>
        <w:spacing w:after="0" w:line="310" w:lineRule="auto"/>
        <w:rPr>
          <w:sz w:val="20"/>
          <w:szCs w:val="20"/>
          <w:color w:val="auto"/>
        </w:rPr>
      </w:pPr>
      <w:r>
        <w:rPr>
          <w:rFonts w:ascii="Arial" w:cs="Arial" w:eastAsia="Arial" w:hAnsi="Arial"/>
          <w:sz w:val="14"/>
          <w:szCs w:val="14"/>
          <w:color w:val="auto"/>
        </w:rPr>
        <w:t>If a successor trustee is appointed with respect to the Securities of one or more (but not all) series, the Issuer,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retiring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under separate indentures.</w:t>
      </w:r>
    </w:p>
    <w:p>
      <w:pPr>
        <w:spacing w:after="0" w:line="141" w:lineRule="exact"/>
        <w:rPr>
          <w:sz w:val="20"/>
          <w:szCs w:val="20"/>
          <w:color w:val="auto"/>
        </w:rPr>
      </w:pPr>
    </w:p>
    <w:p>
      <w:pPr>
        <w:ind w:firstLine="595"/>
        <w:spacing w:after="0" w:line="252" w:lineRule="auto"/>
        <w:rPr>
          <w:sz w:val="20"/>
          <w:szCs w:val="20"/>
          <w:color w:val="auto"/>
        </w:rPr>
      </w:pPr>
      <w:r>
        <w:rPr>
          <w:rFonts w:ascii="Arial" w:cs="Arial" w:eastAsia="Arial" w:hAnsi="Arial"/>
          <w:sz w:val="17"/>
          <w:szCs w:val="17"/>
          <w:color w:val="auto"/>
        </w:rPr>
        <w:t>No successor trustee with respect to any series of Securities shall accept appointment as provided in this Section 6.11 unless at the time of such acceptance such successor trustee shall be qualified under the provisions of Section 310(b) of the Trust Indenture Act of 1939 and eligible under the provisions of Section 310(a) of the Trust Indenture Act of 1939.</w:t>
      </w: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w:t>
      </w:r>
      <w:r>
        <w:rPr>
          <w:rFonts w:ascii="Arial" w:cs="Arial" w:eastAsia="Arial" w:hAnsi="Arial"/>
          <w:sz w:val="16"/>
          <w:szCs w:val="16"/>
          <w:color w:val="auto"/>
        </w:rPr>
        <w:t>32</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4375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3">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160"/>
          </w:cols>
          <w:pgMar w:left="320" w:top="846" w:right="419" w:bottom="1440" w:gutter="0" w:footer="0" w:header="0"/>
        </w:sectPr>
      </w:pPr>
    </w:p>
    <w:bookmarkStart w:id="139" w:name="page140"/>
    <w:bookmarkEnd w:id="139"/>
    <w:p>
      <w:pPr>
        <w:ind w:right="80" w:firstLine="595"/>
        <w:spacing w:after="0" w:line="247" w:lineRule="auto"/>
        <w:rPr>
          <w:sz w:val="20"/>
          <w:szCs w:val="20"/>
          <w:color w:val="auto"/>
        </w:rPr>
      </w:pPr>
      <w:r>
        <w:rPr>
          <w:rFonts w:ascii="Arial" w:cs="Arial" w:eastAsia="Arial" w:hAnsi="Arial"/>
          <w:sz w:val="17"/>
          <w:szCs w:val="17"/>
          <w:color w:val="auto"/>
        </w:rPr>
        <w:t>Upon acceptance of appointment by any successor trustee as provided in this Section 6.11, the Issuer shall deliver notice thereof to the Holders of Securities of each series affected, by delivering such notice to such Holders at their addresses as they shall appear on the Security register. If the acceptance of appointment is substantially contemporaneous with the resignation, then the notice called for by the preceding sentence may be combined with the notice called for by Section 6.10. If the Issuer fails to deliver such notice within ten days after acceptance of appointment by the successor trustee, the successor trustee shall cause such notice to be given at the expense of the Issuer.</w:t>
      </w:r>
    </w:p>
    <w:p>
      <w:pPr>
        <w:spacing w:after="0" w:line="185" w:lineRule="exact"/>
        <w:rPr>
          <w:sz w:val="20"/>
          <w:szCs w:val="20"/>
          <w:color w:val="auto"/>
        </w:rPr>
      </w:pPr>
    </w:p>
    <w:p>
      <w:pPr>
        <w:ind w:right="80" w:firstLine="595"/>
        <w:spacing w:after="0" w:line="288" w:lineRule="auto"/>
        <w:rPr>
          <w:sz w:val="20"/>
          <w:szCs w:val="20"/>
          <w:color w:val="auto"/>
        </w:rPr>
      </w:pPr>
      <w:r>
        <w:rPr>
          <w:rFonts w:ascii="Arial" w:cs="Arial" w:eastAsia="Arial" w:hAnsi="Arial"/>
          <w:sz w:val="15"/>
          <w:szCs w:val="15"/>
          <w:color w:val="auto"/>
        </w:rPr>
        <w:t xml:space="preserve">Section 6.12 </w:t>
      </w:r>
      <w:r>
        <w:rPr>
          <w:rFonts w:ascii="Arial" w:cs="Arial" w:eastAsia="Arial" w:hAnsi="Arial"/>
          <w:sz w:val="15"/>
          <w:szCs w:val="15"/>
          <w:i w:val="1"/>
          <w:iCs w:val="1"/>
          <w:color w:val="auto"/>
        </w:rPr>
        <w:t>Merger, Conversion, Consolidation or Succession to Business of Trustee.</w:t>
      </w:r>
      <w:r>
        <w:rPr>
          <w:rFonts w:ascii="Arial" w:cs="Arial" w:eastAsia="Arial" w:hAnsi="Arial"/>
          <w:sz w:val="15"/>
          <w:szCs w:val="15"/>
          <w:color w:val="auto"/>
        </w:rPr>
        <w:t xml:space="preserve"> 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w:t>
      </w:r>
      <w:r>
        <w:rPr>
          <w:rFonts w:ascii="Arial" w:cs="Arial" w:eastAsia="Arial" w:hAnsi="Arial"/>
          <w:sz w:val="15"/>
          <w:szCs w:val="15"/>
          <w:i w:val="1"/>
          <w:iCs w:val="1"/>
          <w:color w:val="auto"/>
        </w:rPr>
        <w:t>provided</w:t>
      </w:r>
      <w:r>
        <w:rPr>
          <w:rFonts w:ascii="Arial" w:cs="Arial" w:eastAsia="Arial" w:hAnsi="Arial"/>
          <w:sz w:val="15"/>
          <w:szCs w:val="15"/>
          <w:color w:val="auto"/>
        </w:rPr>
        <w:t>, that such corporation shall be qualified under the provisions of Section 310(b) of the Trust Indenture Act of 1939 and eligible under the provisions of Section 310(a) of the Trust Indenture Act of 1939, without the execution or filing of any paper or any further act on the part of any of the parties hereto, anything herein to the contrary notwithstanding.</w:t>
      </w:r>
    </w:p>
    <w:p>
      <w:pPr>
        <w:spacing w:after="0" w:line="156" w:lineRule="exact"/>
        <w:rPr>
          <w:sz w:val="20"/>
          <w:szCs w:val="20"/>
          <w:color w:val="auto"/>
        </w:rPr>
      </w:pPr>
    </w:p>
    <w:p>
      <w:pPr>
        <w:ind w:firstLine="595"/>
        <w:spacing w:after="0" w:line="284" w:lineRule="auto"/>
        <w:rPr>
          <w:sz w:val="20"/>
          <w:szCs w:val="20"/>
          <w:color w:val="auto"/>
        </w:rPr>
      </w:pPr>
      <w:r>
        <w:rPr>
          <w:rFonts w:ascii="Arial" w:cs="Arial" w:eastAsia="Arial" w:hAnsi="Arial"/>
          <w:sz w:val="15"/>
          <w:szCs w:val="15"/>
          <w:color w:val="auto"/>
        </w:rPr>
        <w:t xml:space="preserve">In case, at the time such successor to the Trustee shall succeed to the trusts created by this Indenture, any of the Securities of any series shall have been authenticated but not delivered, any such successor to the Trustee may adopt the certificate of authentication of any predecessor trustee and deliver such Securities so authenticated; and, in case at that time any of the Securities of any series shall not have been authenticated, any successor to the Trustee may authenticate such Securities either in the name of any predecessor hereunder or in the name of the successor trustee; and in all such cases such certificate shall have the full force which it is anywhere in the Securities of such series or in this Indenture provided that the certificate of the Trustee shall have; </w:t>
      </w:r>
      <w:r>
        <w:rPr>
          <w:rFonts w:ascii="Arial" w:cs="Arial" w:eastAsia="Arial" w:hAnsi="Arial"/>
          <w:sz w:val="15"/>
          <w:szCs w:val="15"/>
          <w:i w:val="1"/>
          <w:iCs w:val="1"/>
          <w:color w:val="auto"/>
        </w:rPr>
        <w:t>provided</w:t>
      </w:r>
      <w:r>
        <w:rPr>
          <w:rFonts w:ascii="Arial" w:cs="Arial" w:eastAsia="Arial" w:hAnsi="Arial"/>
          <w:sz w:val="15"/>
          <w:szCs w:val="15"/>
          <w:color w:val="auto"/>
        </w:rPr>
        <w:t>, that the right to adopt the certificate of authentication of any predecessor trustee or to authenticate Securities of any series in the name of any predecessor trustee shall apply only to its successor or successors by merger, conversion or consolidation.</w:t>
      </w:r>
    </w:p>
    <w:p>
      <w:pPr>
        <w:spacing w:after="0" w:line="159" w:lineRule="exact"/>
        <w:rPr>
          <w:sz w:val="20"/>
          <w:szCs w:val="20"/>
          <w:color w:val="auto"/>
        </w:rPr>
      </w:pPr>
    </w:p>
    <w:p>
      <w:pPr>
        <w:jc w:val="both"/>
        <w:ind w:right="460" w:firstLine="595"/>
        <w:spacing w:after="0" w:line="252" w:lineRule="auto"/>
        <w:rPr>
          <w:sz w:val="20"/>
          <w:szCs w:val="20"/>
          <w:color w:val="auto"/>
        </w:rPr>
      </w:pPr>
      <w:r>
        <w:rPr>
          <w:rFonts w:ascii="Arial" w:cs="Arial" w:eastAsia="Arial" w:hAnsi="Arial"/>
          <w:sz w:val="17"/>
          <w:szCs w:val="17"/>
          <w:color w:val="auto"/>
        </w:rPr>
        <w:t xml:space="preserve">Section 6.13 </w:t>
      </w:r>
      <w:r>
        <w:rPr>
          <w:rFonts w:ascii="Arial" w:cs="Arial" w:eastAsia="Arial" w:hAnsi="Arial"/>
          <w:sz w:val="17"/>
          <w:szCs w:val="17"/>
          <w:i w:val="1"/>
          <w:iCs w:val="1"/>
          <w:color w:val="auto"/>
        </w:rPr>
        <w:t>Preferential Collection of Claims Against the Issuer</w:t>
      </w:r>
      <w:r>
        <w:rPr>
          <w:rFonts w:ascii="Arial" w:cs="Arial" w:eastAsia="Arial" w:hAnsi="Arial"/>
          <w:sz w:val="17"/>
          <w:szCs w:val="17"/>
          <w:color w:val="auto"/>
        </w:rPr>
        <w:t>. The Trustee shall comply with Section 311(a) of the Trust Indenture Act of 1939, excluding any creditor relationship described in Section 311(b) of the Trust Indenture Act of 1939. A Trustee who has resigned or been removed shall be subject to Section 311(a) of the Trust Indenture Act of 1939 to the extent included therein.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16"/>
          <w:szCs w:val="16"/>
          <w:color w:val="auto"/>
        </w:rPr>
        <w:t>33</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4375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4">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7"/>
          <w:szCs w:val="17"/>
          <w:color w:val="auto"/>
        </w:rPr>
        <w:t>ARTICLE 7</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CONCERNING THE SECURITYHOLDERS</w:t>
      </w:r>
    </w:p>
    <w:p>
      <w:pPr>
        <w:spacing w:after="0" w:line="191" w:lineRule="exact"/>
        <w:rPr>
          <w:sz w:val="20"/>
          <w:szCs w:val="20"/>
          <w:color w:val="auto"/>
        </w:rPr>
      </w:pPr>
    </w:p>
    <w:p>
      <w:pPr>
        <w:ind w:firstLine="595"/>
        <w:spacing w:after="0" w:line="286" w:lineRule="auto"/>
        <w:rPr>
          <w:sz w:val="20"/>
          <w:szCs w:val="20"/>
          <w:color w:val="auto"/>
        </w:rPr>
      </w:pPr>
      <w:r>
        <w:rPr>
          <w:rFonts w:ascii="Arial" w:cs="Arial" w:eastAsia="Arial" w:hAnsi="Arial"/>
          <w:sz w:val="15"/>
          <w:szCs w:val="15"/>
          <w:color w:val="auto"/>
        </w:rPr>
        <w:t xml:space="preserve">Section 7.01 </w:t>
      </w:r>
      <w:r>
        <w:rPr>
          <w:rFonts w:ascii="Arial" w:cs="Arial" w:eastAsia="Arial" w:hAnsi="Arial"/>
          <w:sz w:val="15"/>
          <w:szCs w:val="15"/>
          <w:i w:val="1"/>
          <w:iCs w:val="1"/>
          <w:color w:val="auto"/>
        </w:rPr>
        <w:t>Evidence of Action Taken by Securityholders.</w:t>
      </w:r>
      <w:r>
        <w:rPr>
          <w:rFonts w:ascii="Arial" w:cs="Arial" w:eastAsia="Arial" w:hAnsi="Arial"/>
          <w:sz w:val="15"/>
          <w:szCs w:val="15"/>
          <w:color w:val="auto"/>
        </w:rPr>
        <w:t xml:space="preserve"> Any request, demand, authorization, direction, notice, consent, waiver or other action provided by this Indenture to be given or taken by a specified percentage in principal amount of the Securityholders of any or all series may be embodied in and evidenced by one or more instruments of substantially similar tenor signed by such specified percentage of Securityholders in person or by agent duly appointed in writing; and, except as herein otherwise expressly provided, such action shall become effective when such instrument or instruments are delivered to the Trustee. Proof of execution of any instrument or of a writing appointing any such agent shall be sufficient for any purpose of this Indenture and (subject to Sections 6.01 and 6.02) conclusive in favor of the Trustee and the Issuer, if made in the manner provided in this Article.</w:t>
      </w:r>
    </w:p>
    <w:p>
      <w:pPr>
        <w:spacing w:after="0" w:line="156" w:lineRule="exact"/>
        <w:rPr>
          <w:sz w:val="20"/>
          <w:szCs w:val="20"/>
          <w:color w:val="auto"/>
        </w:rPr>
      </w:pPr>
    </w:p>
    <w:p>
      <w:pPr>
        <w:ind w:right="80" w:firstLine="595"/>
        <w:spacing w:after="0" w:line="283" w:lineRule="auto"/>
        <w:rPr>
          <w:sz w:val="20"/>
          <w:szCs w:val="20"/>
          <w:color w:val="auto"/>
        </w:rPr>
      </w:pPr>
      <w:r>
        <w:rPr>
          <w:rFonts w:ascii="Arial" w:cs="Arial" w:eastAsia="Arial" w:hAnsi="Arial"/>
          <w:sz w:val="15"/>
          <w:szCs w:val="15"/>
          <w:color w:val="auto"/>
        </w:rPr>
        <w:t xml:space="preserve">Section 7.02 </w:t>
      </w:r>
      <w:r>
        <w:rPr>
          <w:rFonts w:ascii="Arial" w:cs="Arial" w:eastAsia="Arial" w:hAnsi="Arial"/>
          <w:sz w:val="15"/>
          <w:szCs w:val="15"/>
          <w:i w:val="1"/>
          <w:iCs w:val="1"/>
          <w:color w:val="auto"/>
        </w:rPr>
        <w:t>Proof of Execution of Instruments and of Holding of Securities.</w:t>
      </w:r>
      <w:r>
        <w:rPr>
          <w:rFonts w:ascii="Arial" w:cs="Arial" w:eastAsia="Arial" w:hAnsi="Arial"/>
          <w:sz w:val="15"/>
          <w:szCs w:val="15"/>
          <w:color w:val="auto"/>
        </w:rPr>
        <w:t xml:space="preserve"> Subject to Sections 6.01 and 6.02, the execution of any instrument by a Holder or his agent or proxy may be proved in accordance with such reasonable rules and regulations as may be prescribed by the Trustee or in such manner as shall be satisfactory to the Trustee. The holding of Securities shall be proved by the Security register or by a certificate of the registrar thereof. The Issuer may set a record date for purposes of determining the identity of Holders of any series entitled to vote or consent to any action referred to in Section 7.01, which record date may be set at any time or from time to time by notice to the Trustee, for any date or dates (in the case of any adjournment or reconsideration) not more than 60 days nor less than five days prior to the proposed date of such vote or consent, and thereafter, notwithstanding any other provisions hereof, only Holders of such series of record on such record date shall be entitled to so vote or give such consent or revoke such vote or consent. Notice of such record date may be given before or after any request for any action referred to in Section 7.01 is made by the Issuer.</w:t>
      </w:r>
    </w:p>
    <w:p>
      <w:pPr>
        <w:spacing w:after="0" w:line="159" w:lineRule="exact"/>
        <w:rPr>
          <w:sz w:val="20"/>
          <w:szCs w:val="20"/>
          <w:color w:val="auto"/>
        </w:rPr>
      </w:pPr>
    </w:p>
    <w:p>
      <w:pPr>
        <w:ind w:firstLine="595"/>
        <w:spacing w:after="0" w:line="286" w:lineRule="auto"/>
        <w:rPr>
          <w:sz w:val="20"/>
          <w:szCs w:val="20"/>
          <w:color w:val="auto"/>
        </w:rPr>
      </w:pPr>
      <w:r>
        <w:rPr>
          <w:rFonts w:ascii="Arial" w:cs="Arial" w:eastAsia="Arial" w:hAnsi="Arial"/>
          <w:sz w:val="15"/>
          <w:szCs w:val="15"/>
          <w:color w:val="auto"/>
        </w:rPr>
        <w:t xml:space="preserve">Section 7.03 </w:t>
      </w:r>
      <w:r>
        <w:rPr>
          <w:rFonts w:ascii="Arial" w:cs="Arial" w:eastAsia="Arial" w:hAnsi="Arial"/>
          <w:sz w:val="15"/>
          <w:szCs w:val="15"/>
          <w:i w:val="1"/>
          <w:iCs w:val="1"/>
          <w:color w:val="auto"/>
        </w:rPr>
        <w:t>Holders to Be Treated as Owners.</w:t>
      </w:r>
      <w:r>
        <w:rPr>
          <w:rFonts w:ascii="Arial" w:cs="Arial" w:eastAsia="Arial" w:hAnsi="Arial"/>
          <w:sz w:val="15"/>
          <w:szCs w:val="15"/>
          <w:color w:val="auto"/>
        </w:rPr>
        <w:t xml:space="preserve"> The Issuer, the Trustee and any agent of the Issuer or of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Issuer nor the Trustee nor any agent of the Issuer or the Trustee shall be affected by any notice to the contrary. All such payments so made to any such Person, or upon his or her order, shall be valid, and, to the extent of the sum or sums so paid, effectual to satisfy and discharge the liability for moneys payable.</w:t>
      </w:r>
    </w:p>
    <w:p>
      <w:pPr>
        <w:spacing w:after="0" w:line="156" w:lineRule="exact"/>
        <w:rPr>
          <w:sz w:val="20"/>
          <w:szCs w:val="20"/>
          <w:color w:val="auto"/>
        </w:rPr>
      </w:pPr>
    </w:p>
    <w:p>
      <w:pPr>
        <w:ind w:right="40" w:firstLine="595"/>
        <w:spacing w:after="0" w:line="281" w:lineRule="auto"/>
        <w:rPr>
          <w:sz w:val="20"/>
          <w:szCs w:val="20"/>
          <w:color w:val="auto"/>
        </w:rPr>
      </w:pPr>
      <w:r>
        <w:rPr>
          <w:rFonts w:ascii="Arial" w:cs="Arial" w:eastAsia="Arial" w:hAnsi="Arial"/>
          <w:sz w:val="15"/>
          <w:szCs w:val="15"/>
          <w:color w:val="auto"/>
        </w:rPr>
        <w:t xml:space="preserve">Section 7.04 </w:t>
      </w:r>
      <w:r>
        <w:rPr>
          <w:rFonts w:ascii="Arial" w:cs="Arial" w:eastAsia="Arial" w:hAnsi="Arial"/>
          <w:sz w:val="15"/>
          <w:szCs w:val="15"/>
          <w:i w:val="1"/>
          <w:iCs w:val="1"/>
          <w:color w:val="auto"/>
        </w:rPr>
        <w:t>Securities Owned by Issuer Deemed Not Outstanding.</w:t>
      </w:r>
      <w:r>
        <w:rPr>
          <w:rFonts w:ascii="Arial" w:cs="Arial" w:eastAsia="Arial" w:hAnsi="Arial"/>
          <w:sz w:val="15"/>
          <w:szCs w:val="15"/>
          <w:color w:val="auto"/>
        </w:rPr>
        <w:t xml:space="preserve"> In determining whether the Holders of the requisite aggregate principal amount of Outstanding Securities of any or all series have concurred in any direction, consent or waiver under this Indenture, Securities that are owned by the Issuer or any other obligor on the Securities with respect to which such determination is being made or by any Person directly or indirectly controlling or controlled by or under direct or indirect common control with the Issuer or any other obligor on the Securities with respect to which such determination is being made shall be disregarded and deemed not to be Outstanding for the purpose of any such determination, except that, for the purpose of determining whether the Trustee shall be protected in relying on any such direction, consent or waiver, only Securities which the Trustee knows are so owned shall be so disregarded. Securities so owned which have been pledged in good faith may be regarded as Outstanding if the pledgee establishes to the satisfaction of the Trustee the pledgee’s right so to act with respect to such Securities and that the pledgee is not the Issuer or any other obligor upon the Securities or any Person directly or indirectly controlling or controlled by or under direct or indirect common control with the Issuer or any other obligor on the Securities. In case of a dispute as to such right, the advice of counsel shall be full protection in respect of any decision made by the Trustee in accordance with such advice.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16"/>
          <w:szCs w:val="16"/>
          <w:color w:val="auto"/>
        </w:rPr>
        <w:t>34</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4375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5">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41" w:name="page142"/>
    <w:bookmarkEnd w:id="141"/>
    <w:p>
      <w:pPr>
        <w:ind w:right="40" w:firstLine="595"/>
        <w:spacing w:after="0" w:line="282" w:lineRule="auto"/>
        <w:rPr>
          <w:sz w:val="20"/>
          <w:szCs w:val="20"/>
          <w:color w:val="auto"/>
        </w:rPr>
      </w:pPr>
      <w:r>
        <w:rPr>
          <w:rFonts w:ascii="Arial" w:cs="Arial" w:eastAsia="Arial" w:hAnsi="Arial"/>
          <w:sz w:val="15"/>
          <w:szCs w:val="15"/>
          <w:color w:val="auto"/>
        </w:rPr>
        <w:t xml:space="preserve">Section 7.05 </w:t>
      </w:r>
      <w:r>
        <w:rPr>
          <w:rFonts w:ascii="Arial" w:cs="Arial" w:eastAsia="Arial" w:hAnsi="Arial"/>
          <w:sz w:val="15"/>
          <w:szCs w:val="15"/>
          <w:i w:val="1"/>
          <w:iCs w:val="1"/>
          <w:color w:val="auto"/>
        </w:rPr>
        <w:t>Right of Revocation of Action Taken.</w:t>
      </w:r>
      <w:r>
        <w:rPr>
          <w:rFonts w:ascii="Arial" w:cs="Arial" w:eastAsia="Arial" w:hAnsi="Arial"/>
          <w:sz w:val="15"/>
          <w:szCs w:val="15"/>
          <w:color w:val="auto"/>
        </w:rPr>
        <w:t xml:space="preserve"> At any time prior to (but not after) the evidencing to the Trustee, as provided in Section 7.01, of the taking of any action by the Holders of the percentage in aggregate principal amount of the Securities of any or all series, as the case may be, specified in this Indenture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Article,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or on registration of transfer thereof, irrespective of whether or not any notation in regard thereto is made upon any such Security. Any action taken by the Holders of the percentage in aggregate principal amount of the Securities of any or all series, as the case may be, specified in this Indenture in connection with such action shall be conclusively binding upon the Issuer, the Trustee and the Holders of all the Securities affected by such action.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8</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SUPPLEMENTAL INDENTURES</w:t>
      </w:r>
    </w:p>
    <w:p>
      <w:pPr>
        <w:spacing w:after="0" w:line="191" w:lineRule="exact"/>
        <w:rPr>
          <w:sz w:val="20"/>
          <w:szCs w:val="20"/>
          <w:color w:val="auto"/>
        </w:rPr>
      </w:pPr>
    </w:p>
    <w:p>
      <w:pPr>
        <w:ind w:right="140" w:firstLine="595"/>
        <w:spacing w:after="0" w:line="252" w:lineRule="auto"/>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i w:val="1"/>
          <w:iCs w:val="1"/>
          <w:color w:val="auto"/>
        </w:rPr>
        <w:t>Supplemental Indentures Without Consent of Securityholders.</w:t>
      </w:r>
      <w:r>
        <w:rPr>
          <w:rFonts w:ascii="Arial" w:cs="Arial" w:eastAsia="Arial" w:hAnsi="Arial"/>
          <w:sz w:val="17"/>
          <w:szCs w:val="17"/>
          <w:color w:val="auto"/>
        </w:rPr>
        <w:t xml:space="preserve"> The Issuer, when authorized by a resolution of its Board of Directors, and the Trustee may from time to time and at any time, without the consent of any of the Securityholders, enter into an indenture or indentures supplemental hereto in form satisfactory to the Trustee for one or more of the following purposes:</w:t>
      </w:r>
    </w:p>
    <w:p>
      <w:pPr>
        <w:spacing w:after="0" w:line="178" w:lineRule="exact"/>
        <w:rPr>
          <w:sz w:val="20"/>
          <w:szCs w:val="20"/>
          <w:color w:val="auto"/>
        </w:rPr>
      </w:pPr>
    </w:p>
    <w:p>
      <w:pPr>
        <w:ind w:left="1860" w:hanging="670"/>
        <w:spacing w:after="0"/>
        <w:tabs>
          <w:tab w:leader="none" w:pos="1860" w:val="left"/>
        </w:tabs>
        <w:numPr>
          <w:ilvl w:val="0"/>
          <w:numId w:val="92"/>
        </w:numPr>
        <w:rPr>
          <w:rFonts w:ascii="Arial" w:cs="Arial" w:eastAsia="Arial" w:hAnsi="Arial"/>
          <w:sz w:val="15"/>
          <w:szCs w:val="15"/>
          <w:color w:val="auto"/>
        </w:rPr>
      </w:pPr>
      <w:r>
        <w:rPr>
          <w:rFonts w:ascii="Arial" w:cs="Arial" w:eastAsia="Arial" w:hAnsi="Arial"/>
          <w:sz w:val="15"/>
          <w:szCs w:val="15"/>
          <w:color w:val="auto"/>
        </w:rPr>
        <w:t>to convey, transfer, assign, mortgage or pledge to the Trustee as security for the Securities of one or more series any property or assets;</w:t>
      </w:r>
    </w:p>
    <w:p>
      <w:pPr>
        <w:spacing w:after="0" w:line="224" w:lineRule="exact"/>
        <w:rPr>
          <w:rFonts w:ascii="Arial" w:cs="Arial" w:eastAsia="Arial" w:hAnsi="Arial"/>
          <w:sz w:val="15"/>
          <w:szCs w:val="15"/>
          <w:color w:val="auto"/>
        </w:rPr>
      </w:pPr>
    </w:p>
    <w:p>
      <w:pPr>
        <w:ind w:right="40" w:firstLine="1190"/>
        <w:spacing w:after="0" w:line="260" w:lineRule="auto"/>
        <w:tabs>
          <w:tab w:leader="none" w:pos="1879" w:val="left"/>
        </w:tabs>
        <w:numPr>
          <w:ilvl w:val="0"/>
          <w:numId w:val="92"/>
        </w:numPr>
        <w:rPr>
          <w:rFonts w:ascii="Arial" w:cs="Arial" w:eastAsia="Arial" w:hAnsi="Arial"/>
          <w:sz w:val="17"/>
          <w:szCs w:val="17"/>
          <w:color w:val="auto"/>
        </w:rPr>
      </w:pPr>
      <w:r>
        <w:rPr>
          <w:rFonts w:ascii="Arial" w:cs="Arial" w:eastAsia="Arial" w:hAnsi="Arial"/>
          <w:sz w:val="17"/>
          <w:szCs w:val="17"/>
          <w:color w:val="auto"/>
        </w:rPr>
        <w:t>to evidence the succession of another Person to the Issuer, or successive successions, and the assumption by such successor of the covenants, agreements and obligations of the Issuer pursuant to, or to otherwise comply with, Article 9;</w:t>
      </w:r>
    </w:p>
    <w:p>
      <w:pPr>
        <w:spacing w:after="0" w:line="171" w:lineRule="exact"/>
        <w:rPr>
          <w:rFonts w:ascii="Arial" w:cs="Arial" w:eastAsia="Arial" w:hAnsi="Arial"/>
          <w:sz w:val="17"/>
          <w:szCs w:val="17"/>
          <w:color w:val="auto"/>
        </w:rPr>
      </w:pPr>
    </w:p>
    <w:p>
      <w:pPr>
        <w:ind w:left="1860" w:hanging="670"/>
        <w:spacing w:after="0"/>
        <w:tabs>
          <w:tab w:leader="none" w:pos="1860" w:val="left"/>
        </w:tabs>
        <w:numPr>
          <w:ilvl w:val="0"/>
          <w:numId w:val="92"/>
        </w:numPr>
        <w:rPr>
          <w:rFonts w:ascii="Arial" w:cs="Arial" w:eastAsia="Arial" w:hAnsi="Arial"/>
          <w:sz w:val="15"/>
          <w:szCs w:val="15"/>
          <w:color w:val="auto"/>
        </w:rPr>
      </w:pPr>
      <w:r>
        <w:rPr>
          <w:rFonts w:ascii="Arial" w:cs="Arial" w:eastAsia="Arial" w:hAnsi="Arial"/>
          <w:sz w:val="15"/>
          <w:szCs w:val="15"/>
          <w:color w:val="auto"/>
        </w:rPr>
        <w:t>to comply with the requirements of the Commission in order to effect or maintain the qualification of this Indenture under the Trust Indenture</w:t>
      </w:r>
    </w:p>
    <w:p>
      <w:pPr>
        <w:spacing w:after="0" w:line="36"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Act of 1939, as amended;</w:t>
      </w:r>
    </w:p>
    <w:p>
      <w:pPr>
        <w:spacing w:after="0" w:line="190" w:lineRule="exact"/>
        <w:rPr>
          <w:rFonts w:ascii="Arial" w:cs="Arial" w:eastAsia="Arial" w:hAnsi="Arial"/>
          <w:sz w:val="15"/>
          <w:szCs w:val="15"/>
          <w:color w:val="auto"/>
        </w:rPr>
      </w:pPr>
    </w:p>
    <w:p>
      <w:pPr>
        <w:ind w:right="100" w:firstLine="1190"/>
        <w:spacing w:after="0" w:line="284" w:lineRule="auto"/>
        <w:tabs>
          <w:tab w:leader="none" w:pos="1879" w:val="left"/>
        </w:tabs>
        <w:numPr>
          <w:ilvl w:val="0"/>
          <w:numId w:val="92"/>
        </w:numPr>
        <w:rPr>
          <w:rFonts w:ascii="Arial" w:cs="Arial" w:eastAsia="Arial" w:hAnsi="Arial"/>
          <w:sz w:val="15"/>
          <w:szCs w:val="15"/>
          <w:color w:val="auto"/>
        </w:rPr>
      </w:pPr>
      <w:r>
        <w:rPr>
          <w:rFonts w:ascii="Arial" w:cs="Arial" w:eastAsia="Arial" w:hAnsi="Arial"/>
          <w:sz w:val="15"/>
          <w:szCs w:val="15"/>
          <w:color w:val="auto"/>
        </w:rPr>
        <w:t xml:space="preserve">to add to the covenants of the Issuer such further covenants, restrictions, conditions or provisions as its Board of Directors and the Trustee shall consider to be for the protection of the Holders of Securities, and to make the occurrence, or the occurrence and continuance, of a default in any such additional covenants, restrictions, conditions or provisions an Event of Default permitting the enforcement of all or any of the several remedies provided in this Indenture as herein set forth; </w:t>
      </w:r>
      <w:r>
        <w:rPr>
          <w:rFonts w:ascii="Arial" w:cs="Arial" w:eastAsia="Arial" w:hAnsi="Arial"/>
          <w:sz w:val="15"/>
          <w:szCs w:val="15"/>
          <w:i w:val="1"/>
          <w:iCs w:val="1"/>
          <w:color w:val="auto"/>
        </w:rPr>
        <w:t>provided</w:t>
      </w:r>
      <w:r>
        <w:rPr>
          <w:rFonts w:ascii="Arial" w:cs="Arial" w:eastAsia="Arial" w:hAnsi="Arial"/>
          <w:sz w:val="15"/>
          <w:szCs w:val="15"/>
          <w:color w:val="auto"/>
        </w:rPr>
        <w:t>,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Securities of such series to waive such an Event of Default;</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16"/>
          <w:szCs w:val="16"/>
          <w:color w:val="auto"/>
        </w:rPr>
        <w:t>35</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4375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6">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42" w:name="page143"/>
    <w:bookmarkEnd w:id="142"/>
    <w:p>
      <w:pPr>
        <w:ind w:firstLine="1190"/>
        <w:spacing w:after="0" w:line="260" w:lineRule="auto"/>
        <w:tabs>
          <w:tab w:leader="none" w:pos="187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to cure any ambiguity, defect or inconsistency, or to conform this Indenture or any supplemental indenture to the description of the Securities set forth in any prospectus, prospectus supplement or offering memorandum related to such series of Securities;</w:t>
      </w:r>
    </w:p>
    <w:p>
      <w:pPr>
        <w:spacing w:after="0" w:line="171" w:lineRule="exact"/>
        <w:rPr>
          <w:rFonts w:ascii="Arial" w:cs="Arial" w:eastAsia="Arial" w:hAnsi="Arial"/>
          <w:sz w:val="17"/>
          <w:szCs w:val="17"/>
          <w:color w:val="auto"/>
        </w:rPr>
      </w:pPr>
    </w:p>
    <w:p>
      <w:pPr>
        <w:ind w:left="1900" w:hanging="710"/>
        <w:spacing w:after="0"/>
        <w:tabs>
          <w:tab w:leader="none" w:pos="19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to provide for or add guarantors for the Securities of one or more series;</w:t>
      </w:r>
    </w:p>
    <w:p>
      <w:pPr>
        <w:spacing w:after="0" w:line="201" w:lineRule="exact"/>
        <w:rPr>
          <w:rFonts w:ascii="Arial" w:cs="Arial" w:eastAsia="Arial" w:hAnsi="Arial"/>
          <w:sz w:val="17"/>
          <w:szCs w:val="17"/>
          <w:color w:val="auto"/>
        </w:rPr>
      </w:pPr>
    </w:p>
    <w:p>
      <w:pPr>
        <w:ind w:left="1880" w:hanging="690"/>
        <w:spacing w:after="0"/>
        <w:tabs>
          <w:tab w:leader="none" w:pos="18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to establish the form or terms of Securities of any series as permitted by Sections 2.01 and 2.03;</w:t>
      </w:r>
    </w:p>
    <w:p>
      <w:pPr>
        <w:spacing w:after="0" w:line="201" w:lineRule="exact"/>
        <w:rPr>
          <w:rFonts w:ascii="Arial" w:cs="Arial" w:eastAsia="Arial" w:hAnsi="Arial"/>
          <w:sz w:val="17"/>
          <w:szCs w:val="17"/>
          <w:color w:val="auto"/>
        </w:rPr>
      </w:pPr>
    </w:p>
    <w:p>
      <w:pPr>
        <w:ind w:right="160" w:firstLine="1190"/>
        <w:spacing w:after="0" w:line="252" w:lineRule="auto"/>
        <w:tabs>
          <w:tab w:leader="none" w:pos="1879" w:val="left"/>
        </w:tabs>
        <w:numPr>
          <w:ilvl w:val="0"/>
          <w:numId w:val="93"/>
        </w:numPr>
        <w:rPr>
          <w:rFonts w:ascii="Arial" w:cs="Arial" w:eastAsia="Arial" w:hAnsi="Arial"/>
          <w:sz w:val="17"/>
          <w:szCs w:val="17"/>
          <w:color w:val="auto"/>
        </w:rPr>
      </w:pPr>
      <w:r>
        <w:rPr>
          <w:rFonts w:ascii="Arial" w:cs="Arial" w:eastAsia="Arial" w:hAnsi="Arial"/>
          <w:sz w:val="17"/>
          <w:szCs w:val="17"/>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w:t>
      </w:r>
    </w:p>
    <w:p>
      <w:pPr>
        <w:spacing w:after="0" w:line="178" w:lineRule="exact"/>
        <w:rPr>
          <w:rFonts w:ascii="Arial" w:cs="Arial" w:eastAsia="Arial" w:hAnsi="Arial"/>
          <w:sz w:val="17"/>
          <w:szCs w:val="17"/>
          <w:color w:val="auto"/>
        </w:rPr>
      </w:pPr>
    </w:p>
    <w:p>
      <w:pPr>
        <w:ind w:right="100" w:firstLine="1190"/>
        <w:spacing w:after="0" w:line="249" w:lineRule="auto"/>
        <w:tabs>
          <w:tab w:leader="none" w:pos="1884" w:val="left"/>
        </w:tabs>
        <w:numPr>
          <w:ilvl w:val="0"/>
          <w:numId w:val="93"/>
        </w:numPr>
        <w:rPr>
          <w:rFonts w:ascii="Arial" w:cs="Arial" w:eastAsia="Arial" w:hAnsi="Arial"/>
          <w:sz w:val="17"/>
          <w:szCs w:val="17"/>
          <w:color w:val="auto"/>
        </w:rPr>
      </w:pPr>
      <w:r>
        <w:rPr>
          <w:rFonts w:ascii="Arial" w:cs="Arial" w:eastAsia="Arial" w:hAnsi="Arial"/>
          <w:sz w:val="17"/>
          <w:szCs w:val="17"/>
          <w:color w:val="auto"/>
        </w:rPr>
        <w:t>to add to, change or eliminate any of the provisions of this Indenture in respect of one or more series of Securities; provided that any such addition, change or elimination shall (A) not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Security described in clause (A)(i) Outstanding;</w:t>
      </w:r>
    </w:p>
    <w:p>
      <w:pPr>
        <w:spacing w:after="0" w:line="181" w:lineRule="exact"/>
        <w:rPr>
          <w:rFonts w:ascii="Arial" w:cs="Arial" w:eastAsia="Arial" w:hAnsi="Arial"/>
          <w:sz w:val="17"/>
          <w:szCs w:val="17"/>
          <w:color w:val="auto"/>
        </w:rPr>
      </w:pPr>
    </w:p>
    <w:p>
      <w:pPr>
        <w:ind w:left="1880" w:hanging="690"/>
        <w:spacing w:after="0"/>
        <w:tabs>
          <w:tab w:leader="none" w:pos="18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to make any change to the Securities of any series so long as no Securities of such series are Outstanding; and</w:t>
      </w:r>
    </w:p>
    <w:p>
      <w:pPr>
        <w:spacing w:after="0" w:line="201" w:lineRule="exact"/>
        <w:rPr>
          <w:rFonts w:ascii="Arial" w:cs="Arial" w:eastAsia="Arial" w:hAnsi="Arial"/>
          <w:sz w:val="17"/>
          <w:szCs w:val="17"/>
          <w:color w:val="auto"/>
        </w:rPr>
      </w:pPr>
    </w:p>
    <w:p>
      <w:pPr>
        <w:ind w:left="1880" w:hanging="690"/>
        <w:spacing w:after="0"/>
        <w:tabs>
          <w:tab w:leader="none" w:pos="1880" w:val="left"/>
        </w:tabs>
        <w:numPr>
          <w:ilvl w:val="0"/>
          <w:numId w:val="93"/>
        </w:numPr>
        <w:rPr>
          <w:rFonts w:ascii="Arial" w:cs="Arial" w:eastAsia="Arial" w:hAnsi="Arial"/>
          <w:sz w:val="15"/>
          <w:szCs w:val="15"/>
          <w:color w:val="auto"/>
        </w:rPr>
      </w:pPr>
      <w:r>
        <w:rPr>
          <w:rFonts w:ascii="Arial" w:cs="Arial" w:eastAsia="Arial" w:hAnsi="Arial"/>
          <w:sz w:val="15"/>
          <w:szCs w:val="15"/>
          <w:color w:val="auto"/>
        </w:rPr>
        <w:t>to make any other change that does not adversely affect the interests of the Holders of the Securities in any material respect.</w:t>
      </w:r>
    </w:p>
    <w:p>
      <w:pPr>
        <w:spacing w:after="0" w:line="224" w:lineRule="exact"/>
        <w:rPr>
          <w:sz w:val="20"/>
          <w:szCs w:val="20"/>
          <w:color w:val="auto"/>
        </w:rPr>
      </w:pPr>
    </w:p>
    <w:p>
      <w:pPr>
        <w:ind w:right="160" w:firstLine="595"/>
        <w:spacing w:after="0" w:line="301" w:lineRule="auto"/>
        <w:rPr>
          <w:sz w:val="20"/>
          <w:szCs w:val="20"/>
          <w:color w:val="auto"/>
        </w:rPr>
      </w:pPr>
      <w:r>
        <w:rPr>
          <w:rFonts w:ascii="Arial" w:cs="Arial" w:eastAsia="Arial" w:hAnsi="Arial"/>
          <w:sz w:val="15"/>
          <w:szCs w:val="15"/>
          <w:color w:val="auto"/>
        </w:rPr>
        <w:t>The Trustee shall join with the Issuer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affects the Trustee’s own rights, duties or immunities under this Indenture or otherwise.</w:t>
      </w:r>
    </w:p>
    <w:p>
      <w:pPr>
        <w:spacing w:after="0" w:line="145" w:lineRule="exact"/>
        <w:rPr>
          <w:sz w:val="20"/>
          <w:szCs w:val="20"/>
          <w:color w:val="auto"/>
        </w:rPr>
      </w:pPr>
    </w:p>
    <w:p>
      <w:pPr>
        <w:ind w:right="20" w:firstLine="595"/>
        <w:spacing w:after="0" w:line="260" w:lineRule="auto"/>
        <w:rPr>
          <w:sz w:val="20"/>
          <w:szCs w:val="20"/>
          <w:color w:val="auto"/>
        </w:rPr>
      </w:pPr>
      <w:r>
        <w:rPr>
          <w:rFonts w:ascii="Arial" w:cs="Arial" w:eastAsia="Arial" w:hAnsi="Arial"/>
          <w:sz w:val="17"/>
          <w:szCs w:val="17"/>
          <w:color w:val="auto"/>
        </w:rPr>
        <w:t>Any supplemental indenture authorized by the provisions of this Section may be executed without the consent of the Holders of any of the Securities at the time Outstanding, notwithstanding any of the provisions of Section 8.02.</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w:t>
      </w:r>
      <w:r>
        <w:rPr>
          <w:rFonts w:ascii="Arial" w:cs="Arial" w:eastAsia="Arial" w:hAnsi="Arial"/>
          <w:sz w:val="16"/>
          <w:szCs w:val="16"/>
          <w:color w:val="auto"/>
        </w:rPr>
        <w:t>36</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4375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7">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00"/>
          </w:cols>
          <w:pgMar w:left="320" w:top="846" w:right="379" w:bottom="1440" w:gutter="0" w:footer="0" w:header="0"/>
        </w:sectPr>
      </w:pPr>
    </w:p>
    <w:bookmarkStart w:id="143" w:name="page144"/>
    <w:bookmarkEnd w:id="143"/>
    <w:p>
      <w:pPr>
        <w:ind w:firstLine="595"/>
        <w:spacing w:after="0" w:line="279" w:lineRule="auto"/>
        <w:rPr>
          <w:sz w:val="20"/>
          <w:szCs w:val="20"/>
          <w:color w:val="auto"/>
        </w:rPr>
      </w:pPr>
      <w:r>
        <w:rPr>
          <w:rFonts w:ascii="Arial" w:cs="Arial" w:eastAsia="Arial" w:hAnsi="Arial"/>
          <w:sz w:val="15"/>
          <w:szCs w:val="15"/>
          <w:color w:val="auto"/>
        </w:rPr>
        <w:t xml:space="preserve">Section 8.02 </w:t>
      </w:r>
      <w:r>
        <w:rPr>
          <w:rFonts w:ascii="Arial" w:cs="Arial" w:eastAsia="Arial" w:hAnsi="Arial"/>
          <w:sz w:val="15"/>
          <w:szCs w:val="15"/>
          <w:i w:val="1"/>
          <w:iCs w:val="1"/>
          <w:color w:val="auto"/>
        </w:rPr>
        <w:t>Supplemental Indentures With Consent of Securityholders.</w:t>
      </w:r>
      <w:r>
        <w:rPr>
          <w:rFonts w:ascii="Arial" w:cs="Arial" w:eastAsia="Arial" w:hAnsi="Arial"/>
          <w:sz w:val="15"/>
          <w:szCs w:val="15"/>
          <w:color w:val="auto"/>
        </w:rPr>
        <w:t xml:space="preserve"> With the consent (evidenced as provided in Article 7) of the Holders of not less than a majority in aggregate principal amount of the Securities at the time Outstanding of one or more series affected by such supplemental indenture (voting as separate series), the Issuer, when authorized by a resolution of the Board of Directors,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each such consenting series; </w:t>
      </w:r>
      <w:r>
        <w:rPr>
          <w:rFonts w:ascii="Arial" w:cs="Arial" w:eastAsia="Arial" w:hAnsi="Arial"/>
          <w:sz w:val="15"/>
          <w:szCs w:val="15"/>
          <w:i w:val="1"/>
          <w:iCs w:val="1"/>
          <w:color w:val="auto"/>
        </w:rPr>
        <w:t>provided</w:t>
      </w:r>
      <w:r>
        <w:rPr>
          <w:rFonts w:ascii="Arial" w:cs="Arial" w:eastAsia="Arial" w:hAnsi="Arial"/>
          <w:sz w:val="15"/>
          <w:szCs w:val="15"/>
          <w:color w:val="auto"/>
        </w:rPr>
        <w:t>, that no such supplemental indenture shall, without the consent of the Holder of each Security so affected, (a) extend the final maturity of any Security, or reduce the principal amount thereof, or reduce the rate or extend the time of payment of interest thereon, or reduce any amount payable on redemption thereof, or make the principal thereof (including any amount in respect of original issue discount) or interest thereon payable in any currency other than that provided in the Securities or in accordance with the terms thereof, or reduce the amount of the principal of an Original Issue Discount Security that would be due and payable upon an acceleration of the maturity thereof pursuant to Section 5.01 or the amount thereof provable in bankruptcy pursuant to Section 5.02, or (b) waive a continuing default in the payment of principal of any Security or interest thereon, other than any such default in payment that resulted solely from such acceleration, or change a provision related to the waiver of past defaults or impair the right of any Securityholder to institute suit for the enforcement of any such payment on or after the Stated Maturity or the date of redemption or conversion of any Security or, if the Securities provide therefor, any right of repayment at the option of the Securityholder, or (c) modify any of the provisions of this section except to increase any required percentage or to provide that certain other provisions cannot be modified or waived without the consent of the Holder of each Security so affected, or (d) make any change that adversely affects the right to convert or exchange any Security into or for Common Stock or other securities, cash or other property in accordance with the terms of such Security or (e) reduce the aforesaid percentage of Securities of any series, the consent of the Holders of which is required for any such supplemental indenture or the consent of Holders of which is required for any modification, amendment or waiver of compliance with certain provisions of this Indenture or certain defaults hereunder and their consequences provided for in this Indenture.</w:t>
      </w:r>
    </w:p>
    <w:p>
      <w:pPr>
        <w:spacing w:after="0" w:line="161" w:lineRule="exact"/>
        <w:rPr>
          <w:sz w:val="20"/>
          <w:szCs w:val="20"/>
          <w:color w:val="auto"/>
        </w:rPr>
      </w:pPr>
    </w:p>
    <w:p>
      <w:pPr>
        <w:jc w:val="both"/>
        <w:ind w:right="140" w:firstLine="595"/>
        <w:spacing w:after="0" w:line="293" w:lineRule="auto"/>
        <w:rPr>
          <w:sz w:val="20"/>
          <w:szCs w:val="20"/>
          <w:color w:val="auto"/>
        </w:rPr>
      </w:pPr>
      <w:r>
        <w:rPr>
          <w:rFonts w:ascii="Arial" w:cs="Arial" w:eastAsia="Arial" w:hAnsi="Arial"/>
          <w:sz w:val="15"/>
          <w:szCs w:val="15"/>
          <w:color w:val="auto"/>
        </w:rPr>
        <w:t>A supplemental indenture which changes or eliminates any covenant, Event of Default or other provision of this Indenture (1) that has been expressly included solely for the benefit of one or more particular series of Securities, if any, or (2) which modifies the rights of Holders of Securities of one or more series with respect to any covenant, Event of Default or provision, shall be deemed not to affect the rights under this Indenture of the Holders of Securities of any other series with respect to which such covenant, Event of Default or other provision has not been included or so modified.</w:t>
      </w:r>
    </w:p>
    <w:p>
      <w:pPr>
        <w:spacing w:after="0" w:line="150" w:lineRule="exact"/>
        <w:rPr>
          <w:sz w:val="20"/>
          <w:szCs w:val="20"/>
          <w:color w:val="auto"/>
        </w:rPr>
      </w:pPr>
    </w:p>
    <w:p>
      <w:pPr>
        <w:ind w:right="100" w:firstLine="595"/>
        <w:spacing w:after="0" w:line="293" w:lineRule="auto"/>
        <w:rPr>
          <w:sz w:val="20"/>
          <w:szCs w:val="20"/>
          <w:color w:val="auto"/>
        </w:rPr>
      </w:pPr>
      <w:r>
        <w:rPr>
          <w:rFonts w:ascii="Arial" w:cs="Arial" w:eastAsia="Arial" w:hAnsi="Arial"/>
          <w:sz w:val="15"/>
          <w:szCs w:val="15"/>
          <w:color w:val="auto"/>
        </w:rPr>
        <w:t>Upon the request of the Issuer, accompanied by a Board Resolution authorizing the execution of any such supplemental indenture, and upon the filing with the Trustee of evidence of the consent of Securityholders as aforesaid and other documents, if any, required by Section 7.01, the Trustee shall join with the Issuer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50" w:lineRule="exact"/>
        <w:rPr>
          <w:sz w:val="20"/>
          <w:szCs w:val="20"/>
          <w:color w:val="auto"/>
        </w:rPr>
      </w:pPr>
    </w:p>
    <w:p>
      <w:pPr>
        <w:ind w:right="160" w:firstLine="595"/>
        <w:spacing w:after="0" w:line="260" w:lineRule="auto"/>
        <w:rPr>
          <w:sz w:val="20"/>
          <w:szCs w:val="20"/>
          <w:color w:val="auto"/>
        </w:rPr>
      </w:pPr>
      <w:r>
        <w:rPr>
          <w:rFonts w:ascii="Arial" w:cs="Arial" w:eastAsia="Arial" w:hAnsi="Arial"/>
          <w:sz w:val="17"/>
          <w:szCs w:val="17"/>
          <w:color w:val="auto"/>
        </w:rPr>
        <w:t>It shall not be necessary for the consent of the Securityholders under this Section to approve the particular form of any proposed supplemental indenture, but it shall be sufficient if such consent shall approve the substance thereof.</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16"/>
          <w:szCs w:val="16"/>
          <w:color w:val="auto"/>
        </w:rPr>
        <w:t>37</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4375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8">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44" w:name="page145"/>
    <w:bookmarkEnd w:id="144"/>
    <w:p>
      <w:pPr>
        <w:ind w:right="40" w:firstLine="595"/>
        <w:spacing w:after="0" w:line="249" w:lineRule="auto"/>
        <w:rPr>
          <w:sz w:val="20"/>
          <w:szCs w:val="20"/>
          <w:color w:val="auto"/>
        </w:rPr>
      </w:pPr>
      <w:r>
        <w:rPr>
          <w:rFonts w:ascii="Arial" w:cs="Arial" w:eastAsia="Arial" w:hAnsi="Arial"/>
          <w:sz w:val="17"/>
          <w:szCs w:val="17"/>
          <w:color w:val="auto"/>
        </w:rPr>
        <w:t>Promptly after the execution by the Issuer and the Trustee of any supplemental indenture pursuant to the provisions of this Section, the Trustee shall give a notice thereof to the Holders of then Outstanding Securities of each series affected thereby, by delivering a notice thereof, and in each case such notice shall set forth in general terms the substance of such supplemental indenture. Any failure of the Trustee to deliver such notice, or any defect therein, shall not, however, in any way impair or affect the validity of any such supplemental indenture.</w:t>
      </w:r>
    </w:p>
    <w:p>
      <w:pPr>
        <w:spacing w:after="0" w:line="181" w:lineRule="exact"/>
        <w:rPr>
          <w:sz w:val="20"/>
          <w:szCs w:val="20"/>
          <w:color w:val="auto"/>
        </w:rPr>
      </w:pPr>
    </w:p>
    <w:p>
      <w:pPr>
        <w:ind w:firstLine="595"/>
        <w:spacing w:after="0" w:line="247" w:lineRule="auto"/>
        <w:rPr>
          <w:sz w:val="20"/>
          <w:szCs w:val="20"/>
          <w:color w:val="auto"/>
        </w:rPr>
      </w:pPr>
      <w:r>
        <w:rPr>
          <w:rFonts w:ascii="Arial" w:cs="Arial" w:eastAsia="Arial" w:hAnsi="Arial"/>
          <w:sz w:val="17"/>
          <w:szCs w:val="17"/>
          <w:color w:val="auto"/>
        </w:rPr>
        <w:t xml:space="preserve">Section 8.03 </w:t>
      </w:r>
      <w:r>
        <w:rPr>
          <w:rFonts w:ascii="Arial" w:cs="Arial" w:eastAsia="Arial" w:hAnsi="Arial"/>
          <w:sz w:val="17"/>
          <w:szCs w:val="17"/>
          <w:i w:val="1"/>
          <w:iCs w:val="1"/>
          <w:color w:val="auto"/>
        </w:rPr>
        <w:t>Effect of Supplemental Indenture.</w:t>
      </w:r>
      <w:r>
        <w:rPr>
          <w:rFonts w:ascii="Arial" w:cs="Arial" w:eastAsia="Arial" w:hAnsi="Arial"/>
          <w:sz w:val="17"/>
          <w:szCs w:val="17"/>
          <w:color w:val="auto"/>
        </w:rPr>
        <w:t xml:space="preserve"> 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Issuer and the Holders of Securities of each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85" w:lineRule="exact"/>
        <w:rPr>
          <w:sz w:val="20"/>
          <w:szCs w:val="20"/>
          <w:color w:val="auto"/>
        </w:rPr>
      </w:pPr>
    </w:p>
    <w:p>
      <w:pPr>
        <w:ind w:right="80" w:firstLine="595"/>
        <w:spacing w:after="0" w:line="252" w:lineRule="auto"/>
        <w:rPr>
          <w:sz w:val="20"/>
          <w:szCs w:val="20"/>
          <w:color w:val="auto"/>
        </w:rPr>
      </w:pPr>
      <w:r>
        <w:rPr>
          <w:rFonts w:ascii="Arial" w:cs="Arial" w:eastAsia="Arial" w:hAnsi="Arial"/>
          <w:sz w:val="17"/>
          <w:szCs w:val="17"/>
          <w:color w:val="auto"/>
        </w:rPr>
        <w:t xml:space="preserve">Section 8.04 </w:t>
      </w:r>
      <w:r>
        <w:rPr>
          <w:rFonts w:ascii="Arial" w:cs="Arial" w:eastAsia="Arial" w:hAnsi="Arial"/>
          <w:sz w:val="17"/>
          <w:szCs w:val="17"/>
          <w:i w:val="1"/>
          <w:iCs w:val="1"/>
          <w:color w:val="auto"/>
        </w:rPr>
        <w:t>Documents to Be Given to Trustee.</w:t>
      </w:r>
      <w:r>
        <w:rPr>
          <w:rFonts w:ascii="Arial" w:cs="Arial" w:eastAsia="Arial" w:hAnsi="Arial"/>
          <w:sz w:val="17"/>
          <w:szCs w:val="17"/>
          <w:color w:val="auto"/>
        </w:rPr>
        <w:t xml:space="preserve"> The Trustee, subject to the provisions of Sections 6.01 and 6.02, may receive an Officer’s Certificate and an Opinion of Counsel as conclusive evidence that any supplemental indenture executed pursuant to this Article 8 complies with the applicable provisions of this Indenture.</w:t>
      </w:r>
    </w:p>
    <w:p>
      <w:pPr>
        <w:spacing w:after="0" w:line="178" w:lineRule="exact"/>
        <w:rPr>
          <w:sz w:val="20"/>
          <w:szCs w:val="20"/>
          <w:color w:val="auto"/>
        </w:rPr>
      </w:pPr>
    </w:p>
    <w:p>
      <w:pPr>
        <w:ind w:firstLine="595"/>
        <w:spacing w:after="0" w:line="288" w:lineRule="auto"/>
        <w:rPr>
          <w:sz w:val="20"/>
          <w:szCs w:val="20"/>
          <w:color w:val="auto"/>
        </w:rPr>
      </w:pPr>
      <w:r>
        <w:rPr>
          <w:rFonts w:ascii="Arial" w:cs="Arial" w:eastAsia="Arial" w:hAnsi="Arial"/>
          <w:sz w:val="15"/>
          <w:szCs w:val="15"/>
          <w:color w:val="auto"/>
        </w:rPr>
        <w:t xml:space="preserve">Section 8.05 </w:t>
      </w:r>
      <w:r>
        <w:rPr>
          <w:rFonts w:ascii="Arial" w:cs="Arial" w:eastAsia="Arial" w:hAnsi="Arial"/>
          <w:sz w:val="15"/>
          <w:szCs w:val="15"/>
          <w:i w:val="1"/>
          <w:iCs w:val="1"/>
          <w:color w:val="auto"/>
        </w:rPr>
        <w:t>Notation on Securities in Respect of Supplemental Indentures.</w:t>
      </w:r>
      <w:r>
        <w:rPr>
          <w:rFonts w:ascii="Arial" w:cs="Arial" w:eastAsia="Arial" w:hAnsi="Arial"/>
          <w:sz w:val="15"/>
          <w:szCs w:val="15"/>
          <w:color w:val="auto"/>
        </w:rPr>
        <w:t xml:space="preserve"> Securities of any series authenticated and delivered after the execution of any supplemental indenture pursuant to the provisions of this Article may bear a notation in form approved by the Trustee for such series as to any matter provided for by such supplemental indenture or as to any action taken by Securityholders. If the Issuer or the Trustee shall so determine, new Securities of any series so modified as to conform, in the opinion of the Trustee and the Board of Directors, to any modification of this Indenture contained in any such supplemental indenture may be prepared by the Issuer, authenticated by the Trustee and delivered in exchange for the Securities of such series then Outstanding.</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9</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CONSOLIDATION, MERGER, SALE OR CONVEYANCE</w:t>
      </w:r>
    </w:p>
    <w:p>
      <w:pPr>
        <w:spacing w:after="0" w:line="191" w:lineRule="exact"/>
        <w:rPr>
          <w:sz w:val="20"/>
          <w:szCs w:val="20"/>
          <w:color w:val="auto"/>
        </w:rPr>
      </w:pPr>
    </w:p>
    <w:p>
      <w:pPr>
        <w:ind w:firstLine="595"/>
        <w:spacing w:after="0" w:line="280" w:lineRule="auto"/>
        <w:rPr>
          <w:sz w:val="20"/>
          <w:szCs w:val="20"/>
          <w:color w:val="auto"/>
        </w:rPr>
      </w:pPr>
      <w:r>
        <w:rPr>
          <w:rFonts w:ascii="Arial" w:cs="Arial" w:eastAsia="Arial" w:hAnsi="Arial"/>
          <w:sz w:val="15"/>
          <w:szCs w:val="15"/>
          <w:color w:val="auto"/>
        </w:rPr>
        <w:t xml:space="preserve">Section 9.01 </w:t>
      </w:r>
      <w:r>
        <w:rPr>
          <w:rFonts w:ascii="Arial" w:cs="Arial" w:eastAsia="Arial" w:hAnsi="Arial"/>
          <w:sz w:val="15"/>
          <w:szCs w:val="15"/>
          <w:i w:val="1"/>
          <w:iCs w:val="1"/>
          <w:color w:val="auto"/>
        </w:rPr>
        <w:t>Issuer May Consolidate, Etc., on Certain Terms.</w:t>
      </w:r>
      <w:r>
        <w:rPr>
          <w:rFonts w:ascii="Arial" w:cs="Arial" w:eastAsia="Arial" w:hAnsi="Arial"/>
          <w:sz w:val="15"/>
          <w:szCs w:val="15"/>
          <w:color w:val="auto"/>
        </w:rPr>
        <w:t xml:space="preserve"> The Issuer shall not consolidate with or merge into any other Person (in a transaction in which the Issuer is not the surviving corporation) or convey, transfer or lease its properties and assets substantially as an entirety to any Person, unless (a) the Person formed by such consolidation or into which the Issuer is merged or the Person which acquires by conveyance or transfer, or which leases, the properties and assets of the Issuer substantially as an entirety (i) shall be a corporation, limited liability company, partnership or trust, (ii) shall be organized and validly existing under the laws of the United States of America, any State thereof or the District of Columbia and (iii) shall expressly assume, by an indenture supplemental hereto, executed and delivered to the Trustee, in form satisfactory to the Trustee, the due and punctual payment of the principal, interest on and any Additional Amounts with respect to all the Securities and the performance or observance of every covenant of this Indenture on the part of the Issuer to be performed, by supplemental indenture satisfactory in form to the Trustee, executed and delivered to the Trustee, by the Person formed by such consolidation or into which the Issuer shall have been merged or by the Person which shall have acquired the Issuer’s assets; (b) immediately after giving effect to such transaction, no Event of Default, and no event which, after notice or lapse of time or both, would become an Event of Default, shall have happened and be continuing; and (c) the Issuer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16"/>
          <w:szCs w:val="16"/>
          <w:color w:val="auto"/>
        </w:rPr>
        <w:t>38</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4375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9">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45" w:name="page146"/>
    <w:bookmarkEnd w:id="145"/>
    <w:p>
      <w:pPr>
        <w:jc w:val="both"/>
        <w:ind w:right="100" w:firstLine="595"/>
        <w:spacing w:after="0" w:line="252" w:lineRule="auto"/>
        <w:rPr>
          <w:sz w:val="20"/>
          <w:szCs w:val="20"/>
          <w:color w:val="auto"/>
        </w:rPr>
      </w:pPr>
      <w:r>
        <w:rPr>
          <w:rFonts w:ascii="Arial" w:cs="Arial" w:eastAsia="Arial" w:hAnsi="Arial"/>
          <w:sz w:val="17"/>
          <w:szCs w:val="17"/>
          <w:color w:val="auto"/>
        </w:rPr>
        <w:t>The restrictions in this Section 9.01 shall not apply to (i) the merger or consolidation of the Issuer with one of its affiliates, if the Board of Directors determines in good faith that the purpose of such transaction is principally to change the Issuer’s State of incorporation or convert the Issuer’s form of organization to another form, or (ii) the merger of the Issuer with or into a single direct or indirect wholly owned Subsidiary.</w:t>
      </w:r>
    </w:p>
    <w:p>
      <w:pPr>
        <w:spacing w:after="0" w:line="178" w:lineRule="exact"/>
        <w:rPr>
          <w:sz w:val="20"/>
          <w:szCs w:val="20"/>
          <w:color w:val="auto"/>
        </w:rPr>
      </w:pPr>
    </w:p>
    <w:p>
      <w:pPr>
        <w:ind w:firstLine="595"/>
        <w:spacing w:after="0" w:line="288" w:lineRule="auto"/>
        <w:rPr>
          <w:sz w:val="20"/>
          <w:szCs w:val="20"/>
          <w:color w:val="auto"/>
        </w:rPr>
      </w:pPr>
      <w:r>
        <w:rPr>
          <w:rFonts w:ascii="Arial" w:cs="Arial" w:eastAsia="Arial" w:hAnsi="Arial"/>
          <w:sz w:val="15"/>
          <w:szCs w:val="15"/>
          <w:color w:val="auto"/>
        </w:rPr>
        <w:t xml:space="preserve">Section 9.02 </w:t>
      </w:r>
      <w:r>
        <w:rPr>
          <w:rFonts w:ascii="Arial" w:cs="Arial" w:eastAsia="Arial" w:hAnsi="Arial"/>
          <w:sz w:val="15"/>
          <w:szCs w:val="15"/>
          <w:i w:val="1"/>
          <w:iCs w:val="1"/>
          <w:color w:val="auto"/>
        </w:rPr>
        <w:t>Successor Issuer Substituted.</w:t>
      </w:r>
      <w:r>
        <w:rPr>
          <w:rFonts w:ascii="Arial" w:cs="Arial" w:eastAsia="Arial" w:hAnsi="Arial"/>
          <w:sz w:val="15"/>
          <w:szCs w:val="15"/>
          <w:color w:val="auto"/>
        </w:rPr>
        <w:t xml:space="preserve"> Upon any consolidation of the Issuer with, or merger of the Issuer into, any other Person or any conveyance, transfer or lease of the properties and assets of the Issuer substantially as an entirety in accordance with Section 9.01, the successor Person formed by such consolidation or into which the Issuer is merged or to which such conveyance, transfer or lease is made shall succeed to, and be substituted for, and may exercise every right and power of, the Issuer under this Indenture with the same effect as if such successor Person had been named as the Issuer herein, and thereafter, except in the case of a lease, the predecessor Person shall be relieved of all obligations and covenants under this Indenture and the Securities.</w:t>
      </w:r>
    </w:p>
    <w:p>
      <w:pPr>
        <w:spacing w:after="0" w:line="156" w:lineRule="exact"/>
        <w:rPr>
          <w:sz w:val="20"/>
          <w:szCs w:val="20"/>
          <w:color w:val="auto"/>
        </w:rPr>
      </w:pPr>
    </w:p>
    <w:p>
      <w:pPr>
        <w:ind w:right="20" w:firstLine="595"/>
        <w:spacing w:after="0" w:line="260" w:lineRule="auto"/>
        <w:rPr>
          <w:sz w:val="20"/>
          <w:szCs w:val="20"/>
          <w:color w:val="auto"/>
        </w:rPr>
      </w:pPr>
      <w:r>
        <w:rPr>
          <w:rFonts w:ascii="Arial" w:cs="Arial" w:eastAsia="Arial" w:hAnsi="Arial"/>
          <w:sz w:val="17"/>
          <w:szCs w:val="17"/>
          <w:color w:val="auto"/>
        </w:rPr>
        <w:t>In case of any such consolidation, merger, sale, lease or conveyance, such changes in phraseology and form (but not in substance) may be made in the Securities thereafter to be issued as may be appropriate.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10</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SATISFACTION AND DISCHARGE OF INDENTURE; DEFEASANCE;</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UNCLAIMED MONEYS</w:t>
      </w:r>
    </w:p>
    <w:p>
      <w:pPr>
        <w:spacing w:after="0" w:line="191" w:lineRule="exact"/>
        <w:rPr>
          <w:sz w:val="20"/>
          <w:szCs w:val="20"/>
          <w:color w:val="auto"/>
        </w:rPr>
      </w:pPr>
    </w:p>
    <w:p>
      <w:pPr>
        <w:ind w:left="600"/>
        <w:spacing w:after="0"/>
        <w:tabs>
          <w:tab w:leader="none" w:pos="1860" w:val="left"/>
        </w:tabs>
        <w:rPr>
          <w:sz w:val="20"/>
          <w:szCs w:val="20"/>
          <w:color w:val="auto"/>
        </w:rPr>
      </w:pPr>
      <w:r>
        <w:rPr>
          <w:rFonts w:ascii="Arial" w:cs="Arial" w:eastAsia="Arial" w:hAnsi="Arial"/>
          <w:sz w:val="17"/>
          <w:szCs w:val="17"/>
          <w:color w:val="auto"/>
        </w:rPr>
        <w:t>Section 10.01</w:t>
      </w:r>
      <w:r>
        <w:rPr>
          <w:sz w:val="20"/>
          <w:szCs w:val="20"/>
          <w:color w:val="auto"/>
        </w:rPr>
        <w:tab/>
      </w:r>
      <w:r>
        <w:rPr>
          <w:rFonts w:ascii="Arial" w:cs="Arial" w:eastAsia="Arial" w:hAnsi="Arial"/>
          <w:sz w:val="15"/>
          <w:szCs w:val="15"/>
          <w:i w:val="1"/>
          <w:iCs w:val="1"/>
          <w:color w:val="auto"/>
        </w:rPr>
        <w:t xml:space="preserve">Satisfaction and Discharge of Indenture; Defeasance. </w:t>
      </w:r>
      <w:r>
        <w:rPr>
          <w:rFonts w:ascii="Arial" w:cs="Arial" w:eastAsia="Arial" w:hAnsi="Arial"/>
          <w:sz w:val="15"/>
          <w:szCs w:val="15"/>
          <w:color w:val="auto"/>
        </w:rPr>
        <w:t>(a) If at any time</w:t>
      </w:r>
    </w:p>
    <w:p>
      <w:pPr>
        <w:spacing w:after="0" w:line="201" w:lineRule="exact"/>
        <w:rPr>
          <w:sz w:val="20"/>
          <w:szCs w:val="20"/>
          <w:color w:val="auto"/>
        </w:rPr>
      </w:pPr>
    </w:p>
    <w:p>
      <w:pPr>
        <w:ind w:left="1200" w:right="220" w:firstLine="585"/>
        <w:spacing w:after="0" w:line="301" w:lineRule="auto"/>
        <w:tabs>
          <w:tab w:leader="none" w:pos="2488" w:val="left"/>
        </w:tabs>
        <w:numPr>
          <w:ilvl w:val="0"/>
          <w:numId w:val="94"/>
        </w:numPr>
        <w:rPr>
          <w:rFonts w:ascii="Arial" w:cs="Arial" w:eastAsia="Arial" w:hAnsi="Arial"/>
          <w:sz w:val="15"/>
          <w:szCs w:val="15"/>
          <w:color w:val="auto"/>
        </w:rPr>
      </w:pPr>
      <w:r>
        <w:rPr>
          <w:rFonts w:ascii="Arial" w:cs="Arial" w:eastAsia="Arial" w:hAnsi="Arial"/>
          <w:sz w:val="15"/>
          <w:szCs w:val="15"/>
          <w:color w:val="auto"/>
        </w:rPr>
        <w:t>the Issuer shall have paid or caused to be paid the principal of and interest on and any Additional Amounts with respect to all the Securities of any series Outstanding hereunder (other than Securities of such series which have been destroyed, lost or stolen and which have been replaced or paid as provided in Section 2.09) as and when the same shall have become due and payable, or</w:t>
      </w:r>
    </w:p>
    <w:p>
      <w:pPr>
        <w:spacing w:after="0" w:line="144" w:lineRule="exact"/>
        <w:rPr>
          <w:rFonts w:ascii="Arial" w:cs="Arial" w:eastAsia="Arial" w:hAnsi="Arial"/>
          <w:sz w:val="15"/>
          <w:szCs w:val="15"/>
          <w:color w:val="auto"/>
        </w:rPr>
      </w:pPr>
    </w:p>
    <w:p>
      <w:pPr>
        <w:ind w:left="1200" w:right="200" w:firstLine="585"/>
        <w:spacing w:after="0" w:line="367" w:lineRule="auto"/>
        <w:tabs>
          <w:tab w:leader="none" w:pos="2493"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 Issuer shall have delivered to the Trustee for cancellation all Securities of any series theretofore authenticated (other than any Securities of such series which shall have been destroyed, lost or stolen and which shall have been replaced or paid as provided in Section 2.09); or</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w:t>
      </w:r>
      <w:r>
        <w:rPr>
          <w:rFonts w:ascii="Arial" w:cs="Arial" w:eastAsia="Arial" w:hAnsi="Arial"/>
          <w:sz w:val="16"/>
          <w:szCs w:val="16"/>
          <w:color w:val="auto"/>
        </w:rPr>
        <w:t>39</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4375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0">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20"/>
          </w:cols>
          <w:pgMar w:left="320" w:top="846" w:right="359" w:bottom="1440" w:gutter="0" w:footer="0" w:header="0"/>
        </w:sectPr>
      </w:pPr>
    </w:p>
    <w:bookmarkStart w:id="146" w:name="page147"/>
    <w:bookmarkEnd w:id="146"/>
    <w:p>
      <w:pPr>
        <w:ind w:left="1200" w:right="160" w:firstLine="585"/>
        <w:spacing w:after="0" w:line="252" w:lineRule="auto"/>
        <w:tabs>
          <w:tab w:leader="none" w:pos="2498" w:val="left"/>
        </w:tabs>
        <w:numPr>
          <w:ilvl w:val="0"/>
          <w:numId w:val="95"/>
        </w:numPr>
        <w:rPr>
          <w:rFonts w:ascii="Arial" w:cs="Arial" w:eastAsia="Arial" w:hAnsi="Arial"/>
          <w:sz w:val="17"/>
          <w:szCs w:val="17"/>
          <w:color w:val="auto"/>
        </w:rPr>
      </w:pPr>
      <w:r>
        <w:rPr>
          <w:rFonts w:ascii="Arial" w:cs="Arial" w:eastAsia="Arial" w:hAnsi="Arial"/>
          <w:sz w:val="17"/>
          <w:szCs w:val="17"/>
          <w:color w:val="auto"/>
        </w:rPr>
        <w:t>in the case of any series of Securities the exact amount (including the currency of payment) of principal of and interest and Additional Amounts due on which on the dates referred to in clause (B) below can be determined at the time of making the deposit referred to in such clause,</w:t>
      </w:r>
    </w:p>
    <w:p>
      <w:pPr>
        <w:spacing w:after="0" w:line="178" w:lineRule="exact"/>
        <w:rPr>
          <w:rFonts w:ascii="Arial" w:cs="Arial" w:eastAsia="Arial" w:hAnsi="Arial"/>
          <w:sz w:val="17"/>
          <w:szCs w:val="17"/>
          <w:color w:val="auto"/>
        </w:rPr>
      </w:pPr>
    </w:p>
    <w:p>
      <w:pPr>
        <w:ind w:left="1780" w:firstLine="601"/>
        <w:spacing w:after="0" w:line="301" w:lineRule="auto"/>
        <w:tabs>
          <w:tab w:leader="none" w:pos="3101" w:val="left"/>
        </w:tabs>
        <w:numPr>
          <w:ilvl w:val="1"/>
          <w:numId w:val="95"/>
        </w:numPr>
        <w:rPr>
          <w:rFonts w:ascii="Arial" w:cs="Arial" w:eastAsia="Arial" w:hAnsi="Arial"/>
          <w:sz w:val="15"/>
          <w:szCs w:val="15"/>
          <w:color w:val="auto"/>
        </w:rPr>
      </w:pPr>
      <w:r>
        <w:rPr>
          <w:rFonts w:ascii="Arial" w:cs="Arial" w:eastAsia="Arial" w:hAnsi="Arial"/>
          <w:sz w:val="15"/>
          <w:szCs w:val="15"/>
          <w:color w:val="auto"/>
        </w:rPr>
        <w:t>all the Securities of such series not theretofore delivered to the Trustee for cancellation shall have become due and payable, or are by their terms to become due and payable within one year or are to be called for redemption within one year in accordance with their terms under arrangements satisfactory to the Trustee for the giving of notice of redemption, and</w:t>
      </w:r>
    </w:p>
    <w:p>
      <w:pPr>
        <w:spacing w:after="0" w:line="144" w:lineRule="exact"/>
        <w:rPr>
          <w:rFonts w:ascii="Arial" w:cs="Arial" w:eastAsia="Arial" w:hAnsi="Arial"/>
          <w:sz w:val="15"/>
          <w:szCs w:val="15"/>
          <w:color w:val="auto"/>
        </w:rPr>
      </w:pPr>
    </w:p>
    <w:p>
      <w:pPr>
        <w:ind w:left="1780" w:right="100" w:firstLine="601"/>
        <w:spacing w:after="0" w:line="281" w:lineRule="auto"/>
        <w:tabs>
          <w:tab w:leader="none" w:pos="3133" w:val="left"/>
        </w:tabs>
        <w:numPr>
          <w:ilvl w:val="1"/>
          <w:numId w:val="95"/>
        </w:numPr>
        <w:rPr>
          <w:rFonts w:ascii="Arial" w:cs="Arial" w:eastAsia="Arial" w:hAnsi="Arial"/>
          <w:sz w:val="15"/>
          <w:szCs w:val="15"/>
          <w:color w:val="auto"/>
        </w:rPr>
      </w:pPr>
      <w:r>
        <w:rPr>
          <w:rFonts w:ascii="Arial" w:cs="Arial" w:eastAsia="Arial" w:hAnsi="Arial"/>
          <w:sz w:val="15"/>
          <w:szCs w:val="15"/>
          <w:color w:val="auto"/>
        </w:rPr>
        <w:t>the Issuer shall have irrevocably deposited or caused to be deposited with the Trustee as trust funds the entire amount (i) in the case of any series of Securities the payments on which may only be made in Dollars, in Dollars (other than moneys repaid by the Trustee or any paying agent to the Issuer in accordance with Section 10.04) and/or U.S. Government Obligations maturing as to principal and interest in such amounts and at such times as will insure the availability of cash in such currency, or (ii) in the case of any series of Securities the payments on which may only be made in a Foreign Currency, in such Foreign Currency (other than moneys repaid by the Trustee or any paying agent to the Issuer in accordance with Section 10.04) and/or Foreign Government Obligations maturing as to principal and interest in such amounts and at such times as will insure the availability of cash in such currency, in each case sufficient to pay on any subsequent Interest Payment Date all interest due on such Interest Payment Date on the Securities of such series and to pay at maturity or upon redemption all Securities of such series (in each case other than any Securities of such series which shall have been destroyed, lost or stolen and which shall have been replaced or paid as provided in Section 2.09) not theretofore delivered to the Trustee for cancellation, including principal, interest and Additional Amounts due or to become due to such date of maturity, as the case may be,</w:t>
      </w:r>
    </w:p>
    <w:p>
      <w:pPr>
        <w:spacing w:after="0" w:line="160" w:lineRule="exact"/>
        <w:rPr>
          <w:sz w:val="20"/>
          <w:szCs w:val="20"/>
          <w:color w:val="auto"/>
        </w:rPr>
      </w:pPr>
    </w:p>
    <w:p>
      <w:pPr>
        <w:spacing w:after="0" w:line="281" w:lineRule="auto"/>
        <w:rPr>
          <w:sz w:val="20"/>
          <w:szCs w:val="20"/>
          <w:color w:val="auto"/>
        </w:rPr>
      </w:pPr>
      <w:r>
        <w:rPr>
          <w:rFonts w:ascii="Arial" w:cs="Arial" w:eastAsia="Arial" w:hAnsi="Arial"/>
          <w:sz w:val="15"/>
          <w:szCs w:val="15"/>
          <w:color w:val="auto"/>
        </w:rPr>
        <w:t>and if, in a case described in Section 10.01(a)(iii)(B), the Issuer shall also pay or cause to be paid all other sums payable hereunder by the Issuer, including amounts due the Trustee pursuant to Section 6.06, with respect to Securities of such series, then this Indenture shall cease to be of further effect with respect to Securities of such series (except as to (1) rights of registration of transfer, conversion and exchange of Securities of such series and the Issuer’s right of optional redemption, (2) substitution of mutilated, defaced, destroyed, lost or stolen Securities, (3) rights of Holders of Securities to receive, solely from the trust fund described in Section 10.01(a)(iii)(B), payments of principal thereof and interest thereon, upon the original stated due dates therefor (but not upon acceleration) and remaining rights of the Holders to receive, solely from the trust fund described in Section 10.01(a)(iii)(B), sinking fund payments, if any, (4) the rights (including the Trustee’s rights under Section 10.05) and immunities of the Trustee hereunder and the Trustee’s obligations under Sections 10.02 and 10.04 and (5) the obligations of the Issuer under Section 3.02), and the Trustee, on demand of the Issuer accompanied by an Officer’s Certificate and an Opinion of Counsel which complies with Section 11.05 and at the cost and expense of the Issuer, shall execute proper instruments acknowledging such satisfaction of and discharging this Indenture with respect to such series. The Issuer agrees to reimburse the Trustee for any costs or expenses thereafter reasonably and properly incurred and to compensate the Trustee for any services thereafter reasonably and properly rendered by the Trustee in connection with this Indenture or the Securities of such series.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16"/>
          <w:szCs w:val="16"/>
          <w:color w:val="auto"/>
        </w:rPr>
        <w:t>40</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4375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1">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47" w:name="page148"/>
    <w:bookmarkEnd w:id="147"/>
    <w:p>
      <w:pPr>
        <w:ind w:right="40" w:firstLine="1190"/>
        <w:spacing w:after="0" w:line="280" w:lineRule="auto"/>
        <w:tabs>
          <w:tab w:leader="none" w:pos="1838" w:val="left"/>
        </w:tabs>
        <w:numPr>
          <w:ilvl w:val="0"/>
          <w:numId w:val="96"/>
        </w:numPr>
        <w:rPr>
          <w:rFonts w:ascii="Arial" w:cs="Arial" w:eastAsia="Arial" w:hAnsi="Arial"/>
          <w:sz w:val="15"/>
          <w:szCs w:val="15"/>
          <w:color w:val="auto"/>
        </w:rPr>
      </w:pPr>
      <w:r>
        <w:rPr>
          <w:rFonts w:ascii="Arial" w:cs="Arial" w:eastAsia="Arial" w:hAnsi="Arial"/>
          <w:sz w:val="15"/>
          <w:szCs w:val="15"/>
          <w:color w:val="auto"/>
        </w:rPr>
        <w:t>The following subsection shall apply to the Securities of each series unless specifically otherwise provided in a Board Resolution, Officer’s Certificate or indenture supplemental hereto pursuant to Section 2.03. In addition to the right to discharge of the Indenture pursuant to subsection (a) above, the Issuer, at its option and at any time, by written notice by an officer delivered to the Trustee, may elect to have all of its obligations with respect to all Outstanding Securities of a series discharged (“</w:t>
      </w:r>
      <w:r>
        <w:rPr>
          <w:rFonts w:ascii="Arial" w:cs="Arial" w:eastAsia="Arial" w:hAnsi="Arial"/>
          <w:sz w:val="15"/>
          <w:szCs w:val="15"/>
          <w:b w:val="1"/>
          <w:bCs w:val="1"/>
          <w:color w:val="auto"/>
        </w:rPr>
        <w:t>Legal Defeasance</w:t>
      </w:r>
      <w:r>
        <w:rPr>
          <w:rFonts w:ascii="Arial" w:cs="Arial" w:eastAsia="Arial" w:hAnsi="Arial"/>
          <w:sz w:val="15"/>
          <w:szCs w:val="15"/>
          <w:color w:val="auto"/>
        </w:rPr>
        <w:t>”), such discharge to be effective on the date that the conditions set forth in clauses (i) through (iv) and (vi) of Section 10.01(d) are satisfied, and thereafter the Issuer shall be deemed to have paid and discharged the entire Debt on all the Securities of such series, and satisfied all its other obligations under such Securities and this Indenture insofar as such Securities are concerned and this Indenture shall cease to be of further effect with respect to Securities of such series (except as to (1) rights of registration of transfer, conversion and exchange of Securities of such series, (2) substitution of apparently mutilated, defaced, destroyed, lost or stolen Securities, (3) rights of Holders of Securities to receive, solely from the trust fund described in Section 10.01(d)(i), payments of principal thereof, interest thereon and any Additional Amounts, upon the original Stated Maturities therefor (but not upon acceleration) and remaining rights of the Holders to receive, solely from the trust fund described in Section 10.01(d)(i), sinking fund payments, if any, (4) the rights (including the Trustee’s rights under Section 10.05) and immunities of the Trustee hereunder and the Trustee’s obligations with respect to the Securities of such series under Sections 10.02 and 10.04 and (5) the obligations of the Issuer under Section 3.02).</w:t>
      </w:r>
    </w:p>
    <w:p>
      <w:pPr>
        <w:spacing w:after="0" w:line="165" w:lineRule="exact"/>
        <w:rPr>
          <w:rFonts w:ascii="Arial" w:cs="Arial" w:eastAsia="Arial" w:hAnsi="Arial"/>
          <w:sz w:val="15"/>
          <w:szCs w:val="15"/>
          <w:color w:val="auto"/>
        </w:rPr>
      </w:pPr>
    </w:p>
    <w:p>
      <w:pPr>
        <w:ind w:firstLine="1190"/>
        <w:spacing w:after="0" w:line="280" w:lineRule="auto"/>
        <w:tabs>
          <w:tab w:leader="none" w:pos="1870" w:val="left"/>
        </w:tabs>
        <w:numPr>
          <w:ilvl w:val="0"/>
          <w:numId w:val="96"/>
        </w:numPr>
        <w:rPr>
          <w:rFonts w:ascii="Arial" w:cs="Arial" w:eastAsia="Arial" w:hAnsi="Arial"/>
          <w:sz w:val="15"/>
          <w:szCs w:val="15"/>
          <w:color w:val="auto"/>
        </w:rPr>
      </w:pPr>
      <w:r>
        <w:rPr>
          <w:rFonts w:ascii="Arial" w:cs="Arial" w:eastAsia="Arial" w:hAnsi="Arial"/>
          <w:sz w:val="15"/>
          <w:szCs w:val="15"/>
          <w:color w:val="auto"/>
        </w:rPr>
        <w:t>The following subsection shall apply to the Securities of each series unless specifically otherwise provided in a Board Resolution, Officer’s Certificate or indenture supplemental hereto provided pursuant to Section 2.03. In addition to the right to discharge of the Indenture pursuant to subsection (a) and to Legal Defeasance pursuant to subsection (b), above, the Issuer, at its option and at any time, by written notice executed by an officer delivered to the Trustee, may elect to have its obligations under any covenant contained in this Indenture or in the Board Resolution or supplemental indenture relating to such series pursuant to Section 2.03 discharged with respect to all Outstanding Securities of a series, this Indenture and any indentures supplemental to this Indenture with respect to such series (“</w:t>
      </w:r>
      <w:r>
        <w:rPr>
          <w:rFonts w:ascii="Arial" w:cs="Arial" w:eastAsia="Arial" w:hAnsi="Arial"/>
          <w:sz w:val="15"/>
          <w:szCs w:val="15"/>
          <w:b w:val="1"/>
          <w:bCs w:val="1"/>
          <w:color w:val="auto"/>
        </w:rPr>
        <w:t>Covenant</w:t>
      </w:r>
      <w:r>
        <w:rPr>
          <w:rFonts w:ascii="Arial" w:cs="Arial" w:eastAsia="Arial" w:hAnsi="Arial"/>
          <w:sz w:val="15"/>
          <w:szCs w:val="15"/>
          <w:color w:val="auto"/>
        </w:rPr>
        <w:t xml:space="preserve"> </w:t>
      </w:r>
      <w:r>
        <w:rPr>
          <w:rFonts w:ascii="Arial" w:cs="Arial" w:eastAsia="Arial" w:hAnsi="Arial"/>
          <w:sz w:val="15"/>
          <w:szCs w:val="15"/>
          <w:b w:val="1"/>
          <w:bCs w:val="1"/>
          <w:color w:val="auto"/>
        </w:rPr>
        <w:t>Defeasance</w:t>
      </w:r>
      <w:r>
        <w:rPr>
          <w:rFonts w:ascii="Arial" w:cs="Arial" w:eastAsia="Arial" w:hAnsi="Arial"/>
          <w:sz w:val="15"/>
          <w:szCs w:val="15"/>
          <w:color w:val="auto"/>
        </w:rPr>
        <w:t>”), such discharge to be effective on the date the conditions set forth in clauses (i) through (iii) and (v) through (vi) of Section 10.01(d) are satisfied, and such</w:t>
      </w:r>
      <w:r>
        <w:rPr>
          <w:rFonts w:ascii="Arial" w:cs="Arial" w:eastAsia="Arial" w:hAnsi="Arial"/>
          <w:sz w:val="15"/>
          <w:szCs w:val="15"/>
          <w:b w:val="1"/>
          <w:bCs w:val="1"/>
          <w:color w:val="auto"/>
        </w:rPr>
        <w:t xml:space="preserve"> </w:t>
      </w:r>
      <w:r>
        <w:rPr>
          <w:rFonts w:ascii="Arial" w:cs="Arial" w:eastAsia="Arial" w:hAnsi="Arial"/>
          <w:sz w:val="15"/>
          <w:szCs w:val="15"/>
          <w:color w:val="auto"/>
        </w:rPr>
        <w:t>Securities shall thereafter be deemed to be not “Outstanding” for the purposes of any direction, waiver, consent or declaration of Securityholders (and any consequences thereof) in connection with such covenants, but shall continue to be “Outstanding” for all other purposes under this Indenture. For this purpose, such Covenant Defeasance means that, with respect to the Outstanding Securities of a series, the Issuer may omit to comply with and shall have no liability in respect of any term, condition or limitation set forth in any such covenant, whether directly or indirectly, by reason of any reference elsewhere herein to any such covenant or by reason of reference in any such covenant to any other provision herein or in any other document and such omission to comply shall not constitute an Event of Default under Section 5.01(c) or otherwise, but except as specified in this Section 10.01(c), the remainder of the Issuer’s obligations under the Securities of such series, this Indenture, and any indentures supplemental to this Indenture with respect to such series shall be unaffected thereby.</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16"/>
          <w:szCs w:val="16"/>
          <w:color w:val="auto"/>
        </w:rPr>
        <w:t>41</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4375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2">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48" w:name="page149"/>
    <w:bookmarkEnd w:id="148"/>
    <w:p>
      <w:pPr>
        <w:ind w:left="-40" w:right="740" w:firstLine="1190"/>
        <w:spacing w:after="0" w:line="260" w:lineRule="auto"/>
        <w:tabs>
          <w:tab w:leader="none" w:pos="1798"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following shall be the conditions to the application of Legal Defeasance (to the extent set forth in subsection (b)), or Covenant Defeasance (to the extent set forth in subsection (c)) to the Securities of the applicable series:</w:t>
      </w:r>
    </w:p>
    <w:p>
      <w:pPr>
        <w:spacing w:after="0" w:line="171" w:lineRule="exact"/>
        <w:rPr>
          <w:rFonts w:ascii="Arial" w:cs="Arial" w:eastAsia="Arial" w:hAnsi="Arial"/>
          <w:sz w:val="17"/>
          <w:szCs w:val="17"/>
          <w:color w:val="auto"/>
        </w:rPr>
      </w:pPr>
    </w:p>
    <w:p>
      <w:pPr>
        <w:ind w:left="1160" w:right="20" w:firstLine="585"/>
        <w:spacing w:after="0" w:line="280" w:lineRule="auto"/>
        <w:tabs>
          <w:tab w:leader="none" w:pos="2407" w:val="left"/>
        </w:tabs>
        <w:numPr>
          <w:ilvl w:val="1"/>
          <w:numId w:val="97"/>
        </w:numPr>
        <w:rPr>
          <w:rFonts w:ascii="Arial" w:cs="Arial" w:eastAsia="Arial" w:hAnsi="Arial"/>
          <w:sz w:val="15"/>
          <w:szCs w:val="15"/>
          <w:color w:val="auto"/>
        </w:rPr>
      </w:pPr>
      <w:r>
        <w:rPr>
          <w:rFonts w:ascii="Arial" w:cs="Arial" w:eastAsia="Arial" w:hAnsi="Arial"/>
          <w:sz w:val="15"/>
          <w:szCs w:val="15"/>
          <w:color w:val="auto"/>
        </w:rPr>
        <w:t>the Issuer irrevocably deposits or causes to be deposited in trust with the Trustee or, at the option of the Trustee, with a trustee satisfactory to the Trustee and the Company under the terms of an irrevocable trust agreement in form and substance satisfactory to the Trustee, (i) in the case of any series of Securities the payments on which may only be made in Dollars, Dollars (other than moneys repaid by the Trustee or any paying agent to the Issuer in accordance with Section 10.04) and/or U.S. Government Obligations maturing as to principal and interest in such amounts and at such times as will insure the availability of cash in such currency, or (ii) in the case of any series of Securities the payments on which may only be made in a Foreign Currency, such Foreign Currency (other than moneys repaid by the Trustee or any paying agent to the Issuer in accordance with Section 10.04) and/or Foreign Government Obligations maturing as to principal and interest in such amounts and at such times as will insure the availability of cash in such currency, in each case sufficient to pay on any subsequent Interest Payment Date all interest due on such Interest Payment Date on the Securities of such series and to pay at maturity or upon redemption all Securities of such series (in each case other than any Securities of such series which shall have been destroyed, lost or stolen and which shall have been replaced or paid as provided in Section 2.09) not theretofore delivered to the Trustee for cancellation, including principal, interest and Additional Amounts due or to become due to such date of maturity, as the case may be;</w:t>
      </w:r>
    </w:p>
    <w:p>
      <w:pPr>
        <w:spacing w:after="0" w:line="165" w:lineRule="exact"/>
        <w:rPr>
          <w:rFonts w:ascii="Arial" w:cs="Arial" w:eastAsia="Arial" w:hAnsi="Arial"/>
          <w:sz w:val="15"/>
          <w:szCs w:val="15"/>
          <w:color w:val="auto"/>
        </w:rPr>
      </w:pPr>
    </w:p>
    <w:p>
      <w:pPr>
        <w:ind w:left="1160" w:right="680" w:firstLine="585"/>
        <w:spacing w:after="0" w:line="327" w:lineRule="auto"/>
        <w:tabs>
          <w:tab w:leader="none" w:pos="2185" w:val="left"/>
        </w:tabs>
        <w:numPr>
          <w:ilvl w:val="1"/>
          <w:numId w:val="97"/>
        </w:numPr>
        <w:rPr>
          <w:rFonts w:ascii="Arial" w:cs="Arial" w:eastAsia="Arial" w:hAnsi="Arial"/>
          <w:sz w:val="15"/>
          <w:szCs w:val="15"/>
          <w:color w:val="auto"/>
        </w:rPr>
      </w:pPr>
      <w:r>
        <w:rPr>
          <w:rFonts w:ascii="Arial" w:cs="Arial" w:eastAsia="Arial" w:hAnsi="Arial"/>
          <w:sz w:val="15"/>
          <w:szCs w:val="15"/>
          <w:color w:val="auto"/>
        </w:rPr>
        <w:t>the Issuer delivers to the Trustee an Officer’s Certificate stating that all conditions precedent specified herein relating to Legal Defeasance or Covenant Defeasance, as the case may be, have been complied with, and an Opinion of Counsel to the same effect;</w:t>
      </w:r>
    </w:p>
    <w:p>
      <w:pPr>
        <w:spacing w:after="0" w:line="125" w:lineRule="exact"/>
        <w:rPr>
          <w:rFonts w:ascii="Arial" w:cs="Arial" w:eastAsia="Arial" w:hAnsi="Arial"/>
          <w:sz w:val="15"/>
          <w:szCs w:val="15"/>
          <w:color w:val="auto"/>
        </w:rPr>
      </w:pPr>
    </w:p>
    <w:p>
      <w:pPr>
        <w:ind w:left="1160" w:right="20" w:firstLine="585"/>
        <w:spacing w:after="0" w:line="327" w:lineRule="auto"/>
        <w:tabs>
          <w:tab w:leader="none" w:pos="2210" w:val="left"/>
        </w:tabs>
        <w:numPr>
          <w:ilvl w:val="1"/>
          <w:numId w:val="97"/>
        </w:numPr>
        <w:rPr>
          <w:rFonts w:ascii="Arial" w:cs="Arial" w:eastAsia="Arial" w:hAnsi="Arial"/>
          <w:sz w:val="15"/>
          <w:szCs w:val="15"/>
          <w:color w:val="auto"/>
        </w:rPr>
      </w:pPr>
      <w:r>
        <w:rPr>
          <w:rFonts w:ascii="Arial" w:cs="Arial" w:eastAsia="Arial" w:hAnsi="Arial"/>
          <w:sz w:val="15"/>
          <w:szCs w:val="15"/>
          <w:color w:val="auto"/>
        </w:rPr>
        <w:t>no Event of Default under subsection (a), (b), (d) or (e) of Section 5.01 shall have occurred and be continuing, and no event which with notice or lapse of time or both would become such an Event of Default shall have occurred and be continuing, on the date of such deposit;</w:t>
      </w:r>
    </w:p>
    <w:p>
      <w:pPr>
        <w:spacing w:after="0" w:line="125" w:lineRule="exact"/>
        <w:rPr>
          <w:rFonts w:ascii="Arial" w:cs="Arial" w:eastAsia="Arial" w:hAnsi="Arial"/>
          <w:sz w:val="15"/>
          <w:szCs w:val="15"/>
          <w:color w:val="auto"/>
        </w:rPr>
      </w:pPr>
    </w:p>
    <w:p>
      <w:pPr>
        <w:ind w:left="1160" w:firstLine="585"/>
        <w:spacing w:after="0" w:line="286" w:lineRule="auto"/>
        <w:tabs>
          <w:tab w:leader="none" w:pos="2221" w:val="left"/>
        </w:tabs>
        <w:numPr>
          <w:ilvl w:val="1"/>
          <w:numId w:val="97"/>
        </w:numPr>
        <w:rPr>
          <w:rFonts w:ascii="Arial" w:cs="Arial" w:eastAsia="Arial" w:hAnsi="Arial"/>
          <w:sz w:val="15"/>
          <w:szCs w:val="15"/>
          <w:color w:val="auto"/>
        </w:rPr>
      </w:pPr>
      <w:r>
        <w:rPr>
          <w:rFonts w:ascii="Arial" w:cs="Arial" w:eastAsia="Arial" w:hAnsi="Arial"/>
          <w:sz w:val="15"/>
          <w:szCs w:val="15"/>
          <w:color w:val="auto"/>
        </w:rPr>
        <w:t>in the event of an election for Legal Defeasance under subsection (b), the Issuer shall have delivered to the Trustee an Opinion of Counsel stating that (A) the Issuer has received from, or there has been published by, the Internal Revenue Service a ruling or (B) since the date of this instrument, there has been a change in the applicable Federal income tax law, 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amounts, in the same manner and at the same times as would be the case if such deposit, defeasance and discharge were not to occur;</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9525</wp:posOffset>
            </wp:positionV>
            <wp:extent cx="714375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3">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180"/>
          </w:cols>
          <w:pgMar w:left="360" w:top="1045" w:right="359" w:bottom="1440" w:gutter="0" w:footer="0" w:header="0"/>
        </w:sectPr>
      </w:pPr>
    </w:p>
    <w:bookmarkStart w:id="149" w:name="page150"/>
    <w:bookmarkEnd w:id="149"/>
    <w:p>
      <w:pPr>
        <w:ind w:left="1200" w:right="60" w:firstLine="585"/>
        <w:spacing w:after="0" w:line="293" w:lineRule="auto"/>
        <w:tabs>
          <w:tab w:leader="none" w:pos="2401" w:val="left"/>
        </w:tabs>
        <w:numPr>
          <w:ilvl w:val="0"/>
          <w:numId w:val="98"/>
        </w:numPr>
        <w:rPr>
          <w:rFonts w:ascii="Arial" w:cs="Arial" w:eastAsia="Arial" w:hAnsi="Arial"/>
          <w:sz w:val="15"/>
          <w:szCs w:val="15"/>
          <w:color w:val="auto"/>
        </w:rPr>
      </w:pPr>
      <w:r>
        <w:rPr>
          <w:rFonts w:ascii="Arial" w:cs="Arial" w:eastAsia="Arial" w:hAnsi="Arial"/>
          <w:sz w:val="15"/>
          <w:szCs w:val="15"/>
          <w:color w:val="auto"/>
        </w:rPr>
        <w:t>in the event of an election for Covenant Defeasance under subsection (c), the Issuer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 and</w:t>
      </w:r>
    </w:p>
    <w:p>
      <w:pPr>
        <w:spacing w:after="0" w:line="149" w:lineRule="exact"/>
        <w:rPr>
          <w:rFonts w:ascii="Arial" w:cs="Arial" w:eastAsia="Arial" w:hAnsi="Arial"/>
          <w:sz w:val="15"/>
          <w:szCs w:val="15"/>
          <w:color w:val="auto"/>
        </w:rPr>
      </w:pPr>
    </w:p>
    <w:p>
      <w:pPr>
        <w:ind w:left="1200" w:right="220" w:firstLine="585"/>
        <w:spacing w:after="0" w:line="260" w:lineRule="auto"/>
        <w:tabs>
          <w:tab w:leader="none" w:pos="2406" w:val="left"/>
        </w:tabs>
        <w:numPr>
          <w:ilvl w:val="0"/>
          <w:numId w:val="98"/>
        </w:numPr>
        <w:rPr>
          <w:rFonts w:ascii="Arial" w:cs="Arial" w:eastAsia="Arial" w:hAnsi="Arial"/>
          <w:sz w:val="17"/>
          <w:szCs w:val="17"/>
          <w:color w:val="auto"/>
        </w:rPr>
      </w:pPr>
      <w:r>
        <w:rPr>
          <w:rFonts w:ascii="Arial" w:cs="Arial" w:eastAsia="Arial" w:hAnsi="Arial"/>
          <w:sz w:val="17"/>
          <w:szCs w:val="17"/>
          <w:color w:val="auto"/>
        </w:rPr>
        <w:t>notwithstanding any other provisions of this subsection (d), such defeasance shall be effected in compliance with any additional or substitute terms, conditions or limitations that may be imposed on the Issuer pursuant to Section 2.03.</w:t>
      </w:r>
    </w:p>
    <w:p>
      <w:pPr>
        <w:spacing w:after="0" w:line="172" w:lineRule="exact"/>
        <w:rPr>
          <w:sz w:val="20"/>
          <w:szCs w:val="20"/>
          <w:color w:val="auto"/>
        </w:rPr>
      </w:pPr>
    </w:p>
    <w:p>
      <w:pPr>
        <w:ind w:right="120"/>
        <w:spacing w:after="0" w:line="327" w:lineRule="auto"/>
        <w:rPr>
          <w:sz w:val="20"/>
          <w:szCs w:val="20"/>
          <w:color w:val="auto"/>
        </w:rPr>
      </w:pPr>
      <w:r>
        <w:rPr>
          <w:rFonts w:ascii="Arial" w:cs="Arial" w:eastAsia="Arial" w:hAnsi="Arial"/>
          <w:sz w:val="15"/>
          <w:szCs w:val="15"/>
          <w:color w:val="auto"/>
        </w:rPr>
        <w:t>After such irrevocable deposit made pursuant to this Section 10.01(d) and satisfaction of the other applicable conditions set forth in this subsection (d), the Trustee upon request shall execute proper instruments acknowledging the discharge of the Issuer’s obligations pursuant to this Section 10.01.</w:t>
      </w:r>
    </w:p>
    <w:p>
      <w:pPr>
        <w:spacing w:after="0" w:line="125" w:lineRule="exact"/>
        <w:rPr>
          <w:sz w:val="20"/>
          <w:szCs w:val="20"/>
          <w:color w:val="auto"/>
        </w:rPr>
      </w:pPr>
    </w:p>
    <w:p>
      <w:pPr>
        <w:ind w:firstLine="595"/>
        <w:spacing w:after="0" w:line="293" w:lineRule="auto"/>
        <w:rPr>
          <w:sz w:val="20"/>
          <w:szCs w:val="20"/>
          <w:color w:val="auto"/>
        </w:rPr>
      </w:pPr>
      <w:r>
        <w:rPr>
          <w:rFonts w:ascii="Arial" w:cs="Arial" w:eastAsia="Arial" w:hAnsi="Arial"/>
          <w:sz w:val="15"/>
          <w:szCs w:val="15"/>
          <w:color w:val="auto"/>
        </w:rPr>
        <w:t xml:space="preserve">Section 10.02 </w:t>
      </w:r>
      <w:r>
        <w:rPr>
          <w:rFonts w:ascii="Arial" w:cs="Arial" w:eastAsia="Arial" w:hAnsi="Arial"/>
          <w:sz w:val="15"/>
          <w:szCs w:val="15"/>
          <w:i w:val="1"/>
          <w:iCs w:val="1"/>
          <w:color w:val="auto"/>
        </w:rPr>
        <w:t>Application by Trustee of Funds Deposited for Payment of Securities.</w:t>
      </w:r>
      <w:r>
        <w:rPr>
          <w:rFonts w:ascii="Arial" w:cs="Arial" w:eastAsia="Arial" w:hAnsi="Arial"/>
          <w:sz w:val="15"/>
          <w:szCs w:val="15"/>
          <w:color w:val="auto"/>
        </w:rPr>
        <w:t xml:space="preserve"> Subject to Section 10.04, all moneys deposited with the Trustee (or other trustee) pursuant to Section 10.01 shall be held in trust and applied by it to the payment, either directly or through any paying agent (including the Issuer acting as its own paying agent), to the Holders of the particular Securities of such series for the payment or redemption of which such moneys have been deposited with the Trustee, of all sums due and to become due thereon for principal and interest; but such money need not be segregated from other funds except to the extent required by law.</w:t>
      </w:r>
    </w:p>
    <w:p>
      <w:pPr>
        <w:spacing w:after="0" w:line="150" w:lineRule="exact"/>
        <w:rPr>
          <w:sz w:val="20"/>
          <w:szCs w:val="20"/>
          <w:color w:val="auto"/>
        </w:rPr>
      </w:pPr>
    </w:p>
    <w:p>
      <w:pPr>
        <w:ind w:firstLine="595"/>
        <w:spacing w:after="0" w:line="301" w:lineRule="auto"/>
        <w:rPr>
          <w:sz w:val="20"/>
          <w:szCs w:val="20"/>
          <w:color w:val="auto"/>
        </w:rPr>
      </w:pPr>
      <w:r>
        <w:rPr>
          <w:rFonts w:ascii="Arial" w:cs="Arial" w:eastAsia="Arial" w:hAnsi="Arial"/>
          <w:sz w:val="15"/>
          <w:szCs w:val="15"/>
          <w:color w:val="auto"/>
        </w:rPr>
        <w:t xml:space="preserve">Section 10.03 </w:t>
      </w:r>
      <w:r>
        <w:rPr>
          <w:rFonts w:ascii="Arial" w:cs="Arial" w:eastAsia="Arial" w:hAnsi="Arial"/>
          <w:sz w:val="15"/>
          <w:szCs w:val="15"/>
          <w:i w:val="1"/>
          <w:iCs w:val="1"/>
          <w:color w:val="auto"/>
        </w:rPr>
        <w:t>Repayment of Moneys Held by Paying Agent.</w:t>
      </w:r>
      <w:r>
        <w:rPr>
          <w:rFonts w:ascii="Arial" w:cs="Arial" w:eastAsia="Arial" w:hAnsi="Arial"/>
          <w:sz w:val="15"/>
          <w:szCs w:val="15"/>
          <w:color w:val="auto"/>
        </w:rPr>
        <w:t xml:space="preserve"> In connection with the satisfaction and discharge of this Indenture with respect to Securities of any series, all moneys then held by any paying agent under the provisions of this Indenture with respect to such series of Securities shall, upon demand of the Issuer, be repaid to it or paid to the Trustee and thereupon such paying agent shall be released from all further liability with respect to such moneys.</w:t>
      </w:r>
    </w:p>
    <w:p>
      <w:pPr>
        <w:spacing w:after="0" w:line="145" w:lineRule="exact"/>
        <w:rPr>
          <w:sz w:val="20"/>
          <w:szCs w:val="20"/>
          <w:color w:val="auto"/>
        </w:rPr>
      </w:pPr>
    </w:p>
    <w:p>
      <w:pPr>
        <w:ind w:right="40" w:firstLine="595"/>
        <w:spacing w:after="0" w:line="288" w:lineRule="auto"/>
        <w:rPr>
          <w:sz w:val="20"/>
          <w:szCs w:val="20"/>
          <w:color w:val="auto"/>
        </w:rPr>
      </w:pPr>
      <w:r>
        <w:rPr>
          <w:rFonts w:ascii="Arial" w:cs="Arial" w:eastAsia="Arial" w:hAnsi="Arial"/>
          <w:sz w:val="15"/>
          <w:szCs w:val="15"/>
          <w:color w:val="auto"/>
        </w:rPr>
        <w:t xml:space="preserve">Section 10.04 </w:t>
      </w:r>
      <w:r>
        <w:rPr>
          <w:rFonts w:ascii="Arial" w:cs="Arial" w:eastAsia="Arial" w:hAnsi="Arial"/>
          <w:sz w:val="15"/>
          <w:szCs w:val="15"/>
          <w:i w:val="1"/>
          <w:iCs w:val="1"/>
          <w:color w:val="auto"/>
        </w:rPr>
        <w:t>Return of Moneys Held by Trustee and Paying Agent Unclaimed for Two Years.</w:t>
      </w:r>
      <w:r>
        <w:rPr>
          <w:rFonts w:ascii="Arial" w:cs="Arial" w:eastAsia="Arial" w:hAnsi="Arial"/>
          <w:sz w:val="15"/>
          <w:szCs w:val="15"/>
          <w:color w:val="auto"/>
        </w:rPr>
        <w:t xml:space="preserve"> Any moneys deposited with or paid to the Trustee or any paying agent for the payment of the principal of, interest on or additional amounts in respect of any Security of any series and not applied but remaining unclaimed for two years after the date upon which such principal, interest or additional amount shall have become due and payable, shall be repaid to the Issuer by the Trustee for such series or such paying agent, and the Holder of the Securities of such series shall thereafter look only to the Issuer for any payment which such Holder may be entitled to collect, and all liability of the Trustee or any paying agent with respect to such moneys shall thereupon cease.</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4">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50" w:name="page151"/>
    <w:bookmarkEnd w:id="150"/>
    <w:p>
      <w:pPr>
        <w:jc w:val="both"/>
        <w:ind w:right="100" w:firstLine="595"/>
        <w:spacing w:after="0" w:line="252" w:lineRule="auto"/>
        <w:rPr>
          <w:sz w:val="20"/>
          <w:szCs w:val="20"/>
          <w:color w:val="auto"/>
        </w:rPr>
      </w:pPr>
      <w:r>
        <w:rPr>
          <w:rFonts w:ascii="Arial" w:cs="Arial" w:eastAsia="Arial" w:hAnsi="Arial"/>
          <w:sz w:val="17"/>
          <w:szCs w:val="17"/>
          <w:color w:val="auto"/>
        </w:rPr>
        <w:t xml:space="preserve">Section 10.05 </w:t>
      </w:r>
      <w:r>
        <w:rPr>
          <w:rFonts w:ascii="Arial" w:cs="Arial" w:eastAsia="Arial" w:hAnsi="Arial"/>
          <w:sz w:val="17"/>
          <w:szCs w:val="17"/>
          <w:i w:val="1"/>
          <w:iCs w:val="1"/>
          <w:color w:val="auto"/>
        </w:rPr>
        <w:t>Indemnity for U.S. Government Obligations and Foreign Government Obligations.</w:t>
      </w:r>
      <w:r>
        <w:rPr>
          <w:rFonts w:ascii="Arial" w:cs="Arial" w:eastAsia="Arial" w:hAnsi="Arial"/>
          <w:sz w:val="17"/>
          <w:szCs w:val="17"/>
          <w:color w:val="auto"/>
        </w:rPr>
        <w:t xml:space="preserve"> The Issuer shall pay and indemnify the Trustee against any tax, fee or other charge imposed on or assessed against the U.S. Government Obligations or Foreign Government Obligations deposited pursuant to Section 10.01 or the principal or interest received in respect of such obligations.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11</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MISCELLANEOUS PROVISIONS</w:t>
      </w:r>
    </w:p>
    <w:p>
      <w:pPr>
        <w:spacing w:after="0" w:line="191" w:lineRule="exact"/>
        <w:rPr>
          <w:sz w:val="20"/>
          <w:szCs w:val="20"/>
          <w:color w:val="auto"/>
        </w:rPr>
      </w:pPr>
    </w:p>
    <w:p>
      <w:pPr>
        <w:ind w:right="20" w:firstLine="595"/>
        <w:spacing w:after="0" w:line="281" w:lineRule="auto"/>
        <w:rPr>
          <w:sz w:val="20"/>
          <w:szCs w:val="20"/>
          <w:color w:val="auto"/>
        </w:rPr>
      </w:pPr>
      <w:r>
        <w:rPr>
          <w:rFonts w:ascii="Arial" w:cs="Arial" w:eastAsia="Arial" w:hAnsi="Arial"/>
          <w:sz w:val="15"/>
          <w:szCs w:val="15"/>
          <w:color w:val="auto"/>
        </w:rPr>
        <w:t xml:space="preserve">Section 11.01 </w:t>
      </w:r>
      <w:r>
        <w:rPr>
          <w:rFonts w:ascii="Arial" w:cs="Arial" w:eastAsia="Arial" w:hAnsi="Arial"/>
          <w:sz w:val="15"/>
          <w:szCs w:val="15"/>
          <w:i w:val="1"/>
          <w:iCs w:val="1"/>
          <w:color w:val="auto"/>
        </w:rPr>
        <w:t>No Recourse.</w:t>
      </w:r>
      <w:r>
        <w:rPr>
          <w:rFonts w:ascii="Arial" w:cs="Arial" w:eastAsia="Arial" w:hAnsi="Arial"/>
          <w:sz w:val="15"/>
          <w:szCs w:val="15"/>
          <w:color w:val="auto"/>
        </w:rPr>
        <w:t xml:space="preserve"> No recourse under or upon any obligation, covenant or agreement of this Indenture, or of any Security, or for any claim based thereon or otherwise in respect thereof, shall be had against any incorporator, stockholder, officer or director, past, present or future as such, of the Issuer or of any predecessor or successor corporation, either directly or through the Issuer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Issuer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60" w:lineRule="exact"/>
        <w:rPr>
          <w:sz w:val="20"/>
          <w:szCs w:val="20"/>
          <w:color w:val="auto"/>
        </w:rPr>
      </w:pPr>
    </w:p>
    <w:p>
      <w:pPr>
        <w:ind w:right="20" w:firstLine="595"/>
        <w:spacing w:after="0" w:line="249" w:lineRule="auto"/>
        <w:rPr>
          <w:sz w:val="20"/>
          <w:szCs w:val="20"/>
          <w:color w:val="auto"/>
        </w:rPr>
      </w:pPr>
      <w:r>
        <w:rPr>
          <w:rFonts w:ascii="Arial" w:cs="Arial" w:eastAsia="Arial" w:hAnsi="Arial"/>
          <w:sz w:val="17"/>
          <w:szCs w:val="17"/>
          <w:color w:val="auto"/>
        </w:rPr>
        <w:t xml:space="preserve">Section 11.02 </w:t>
      </w:r>
      <w:r>
        <w:rPr>
          <w:rFonts w:ascii="Arial" w:cs="Arial" w:eastAsia="Arial" w:hAnsi="Arial"/>
          <w:sz w:val="17"/>
          <w:szCs w:val="17"/>
          <w:i w:val="1"/>
          <w:iCs w:val="1"/>
          <w:color w:val="auto"/>
        </w:rPr>
        <w:t>Provisions of Indenture for the Sole Benefit of Parties and Holders of Securities.</w:t>
      </w:r>
      <w:r>
        <w:rPr>
          <w:rFonts w:ascii="Arial" w:cs="Arial" w:eastAsia="Arial" w:hAnsi="Arial"/>
          <w:sz w:val="17"/>
          <w:szCs w:val="17"/>
          <w:color w:val="auto"/>
        </w:rPr>
        <w:t xml:space="preserve"> Nothing in this Indenture or in the Securities, expressed or implied, shall give or be construed to give to any person, firm or corporation, other than the parties hereto and their successors and the Holders of the Securities any legal or equitable right, remedy or claim under this Indenture or under any covenant or provision herein contained, all such covenants and provisions being for the sole benefit of the parties hereto and their successors and of the Holders of the Securities.</w:t>
      </w:r>
    </w:p>
    <w:p>
      <w:pPr>
        <w:spacing w:after="0" w:line="181" w:lineRule="exact"/>
        <w:rPr>
          <w:sz w:val="20"/>
          <w:szCs w:val="20"/>
          <w:color w:val="auto"/>
        </w:rPr>
      </w:pPr>
    </w:p>
    <w:p>
      <w:pPr>
        <w:ind w:firstLine="595"/>
        <w:spacing w:after="0" w:line="260" w:lineRule="auto"/>
        <w:rPr>
          <w:sz w:val="20"/>
          <w:szCs w:val="20"/>
          <w:color w:val="auto"/>
        </w:rPr>
      </w:pPr>
      <w:r>
        <w:rPr>
          <w:rFonts w:ascii="Arial" w:cs="Arial" w:eastAsia="Arial" w:hAnsi="Arial"/>
          <w:sz w:val="17"/>
          <w:szCs w:val="17"/>
          <w:color w:val="auto"/>
        </w:rPr>
        <w:t xml:space="preserve">Section 11.03 </w:t>
      </w:r>
      <w:r>
        <w:rPr>
          <w:rFonts w:ascii="Arial" w:cs="Arial" w:eastAsia="Arial" w:hAnsi="Arial"/>
          <w:sz w:val="17"/>
          <w:szCs w:val="17"/>
          <w:i w:val="1"/>
          <w:iCs w:val="1"/>
          <w:color w:val="auto"/>
        </w:rPr>
        <w:t>Successors and Assigns of Issuer Bound by Indenture.</w:t>
      </w:r>
      <w:r>
        <w:rPr>
          <w:rFonts w:ascii="Arial" w:cs="Arial" w:eastAsia="Arial" w:hAnsi="Arial"/>
          <w:sz w:val="17"/>
          <w:szCs w:val="17"/>
          <w:color w:val="auto"/>
        </w:rPr>
        <w:t xml:space="preserve"> All the covenants, stipulations, promises and agreements contained in this Indenture by or on behalf of the Issuer shall bind its successors and assigns, whether so expressed or not.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5">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20"/>
          </w:cols>
          <w:pgMar w:left="320" w:top="846" w:right="359" w:bottom="1440" w:gutter="0" w:footer="0" w:header="0"/>
        </w:sectPr>
      </w:pPr>
    </w:p>
    <w:bookmarkStart w:id="151" w:name="page152"/>
    <w:bookmarkEnd w:id="151"/>
    <w:p>
      <w:pPr>
        <w:ind w:firstLine="595"/>
        <w:spacing w:after="0" w:line="288" w:lineRule="auto"/>
        <w:rPr>
          <w:sz w:val="20"/>
          <w:szCs w:val="20"/>
          <w:color w:val="auto"/>
        </w:rPr>
      </w:pPr>
      <w:r>
        <w:rPr>
          <w:rFonts w:ascii="Arial" w:cs="Arial" w:eastAsia="Arial" w:hAnsi="Arial"/>
          <w:sz w:val="15"/>
          <w:szCs w:val="15"/>
          <w:color w:val="auto"/>
        </w:rPr>
        <w:t xml:space="preserve">Section 11.04 </w:t>
      </w:r>
      <w:r>
        <w:rPr>
          <w:rFonts w:ascii="Arial" w:cs="Arial" w:eastAsia="Arial" w:hAnsi="Arial"/>
          <w:sz w:val="15"/>
          <w:szCs w:val="15"/>
          <w:i w:val="1"/>
          <w:iCs w:val="1"/>
          <w:color w:val="auto"/>
        </w:rPr>
        <w:t>Notices and Demands on Issuer, Trustee and Holders of Securities.</w:t>
      </w:r>
      <w:r>
        <w:rPr>
          <w:rFonts w:ascii="Arial" w:cs="Arial" w:eastAsia="Arial" w:hAnsi="Arial"/>
          <w:sz w:val="15"/>
          <w:szCs w:val="15"/>
          <w:color w:val="auto"/>
        </w:rPr>
        <w:t xml:space="preserve"> Any notice or demand which by any provision of this Indenture is required or permitted to be given or served by the Trustee or by the Holders of Securities to or on the Issuer may be delivered, given or served by being deposited postage prepaid, first-class mail (except as otherwise specifically provided herein) addressed (until another address of the Issuer is filed by the Issuer with the Trustee) to IVERIC bio, Inc. Five Penn Plaza, Suite 2372, New York, NY 10001, Attn: Chief Financial Officer. Any notice, direction, request or demand by the Issuer or any Holder of Securities to or upon the Trustee shall be deemed to have been sufficiently given or made, for all purposes, if given or made at _______, ________, Attn: _______.</w:t>
      </w:r>
    </w:p>
    <w:p>
      <w:pPr>
        <w:spacing w:after="0" w:line="156" w:lineRule="exact"/>
        <w:rPr>
          <w:sz w:val="20"/>
          <w:szCs w:val="20"/>
          <w:color w:val="auto"/>
        </w:rPr>
      </w:pPr>
    </w:p>
    <w:p>
      <w:pPr>
        <w:ind w:firstLine="595"/>
        <w:spacing w:after="0" w:line="247" w:lineRule="auto"/>
        <w:rPr>
          <w:sz w:val="20"/>
          <w:szCs w:val="20"/>
          <w:color w:val="auto"/>
        </w:rPr>
      </w:pPr>
      <w:r>
        <w:rPr>
          <w:rFonts w:ascii="Arial" w:cs="Arial" w:eastAsia="Arial" w:hAnsi="Arial"/>
          <w:sz w:val="17"/>
          <w:szCs w:val="17"/>
          <w:color w:val="auto"/>
        </w:rPr>
        <w:t>Where this Indenture provides for notice to Holders of Securities, such notice shall be sufficiently given (unless otherwise herein expressly provided) if in writing and mailed, first-class postage prepaid, to each Holder entitled thereto, at his, her or its last address as it appears in the Security register. In case, by reason of the suspension of or irregularities in regular mail service, it shall be impracticable to mail notice of any event to Holders of Securities when said notice is required to be given pursuant to any provision of this Indenture or of the Securities, then any manner of giving such notice as shall be satisfactory to the Trustee shall be deemed to be a sufficient giving of such notice.</w:t>
      </w:r>
    </w:p>
    <w:p>
      <w:pPr>
        <w:spacing w:after="0" w:line="185" w:lineRule="exact"/>
        <w:rPr>
          <w:sz w:val="20"/>
          <w:szCs w:val="20"/>
          <w:color w:val="auto"/>
        </w:rPr>
      </w:pPr>
    </w:p>
    <w:p>
      <w:pPr>
        <w:ind w:right="100" w:firstLine="595"/>
        <w:spacing w:after="0" w:line="252" w:lineRule="auto"/>
        <w:rPr>
          <w:sz w:val="20"/>
          <w:szCs w:val="20"/>
          <w:color w:val="auto"/>
        </w:rPr>
      </w:pPr>
      <w:r>
        <w:rPr>
          <w:rFonts w:ascii="Arial" w:cs="Arial" w:eastAsia="Arial" w:hAnsi="Arial"/>
          <w:sz w:val="17"/>
          <w:szCs w:val="17"/>
          <w:color w:val="auto"/>
        </w:rPr>
        <w:t>In case, by reason of the suspension of or irregularities in regular mail service, it shall be impracticable to mail notice to the Issuer when such notice is required to be given pursuant to any provision of this Indenture, then any manner of giving such notice as shall be satisfactory to the Trustee shall be deemed to be a sufficient giving of such notice.</w:t>
      </w:r>
    </w:p>
    <w:p>
      <w:pPr>
        <w:spacing w:after="0" w:line="178" w:lineRule="exact"/>
        <w:rPr>
          <w:sz w:val="20"/>
          <w:szCs w:val="20"/>
          <w:color w:val="auto"/>
        </w:rPr>
      </w:pPr>
    </w:p>
    <w:p>
      <w:pPr>
        <w:ind w:right="60" w:firstLine="595"/>
        <w:spacing w:after="0" w:line="252" w:lineRule="auto"/>
        <w:rPr>
          <w:sz w:val="20"/>
          <w:szCs w:val="20"/>
          <w:color w:val="auto"/>
        </w:rPr>
      </w:pPr>
      <w:r>
        <w:rPr>
          <w:rFonts w:ascii="Arial" w:cs="Arial" w:eastAsia="Arial" w:hAnsi="Arial"/>
          <w:sz w:val="17"/>
          <w:szCs w:val="17"/>
          <w:color w:val="auto"/>
        </w:rPr>
        <w:t>Where this Indenture provides for notice of any event to a Holder of a Global Security, such notice shall be sufficiently given if given to the Depositary for such Security (or its designee), pursuant to the Applicable Procedures of the Depositary, not later than the latest date, if any, and not earlier than the earliest date, if any, prescribed for the giving of such notice.</w:t>
      </w:r>
    </w:p>
    <w:p>
      <w:pPr>
        <w:spacing w:after="0" w:line="178" w:lineRule="exact"/>
        <w:rPr>
          <w:sz w:val="20"/>
          <w:szCs w:val="20"/>
          <w:color w:val="auto"/>
        </w:rPr>
      </w:pPr>
    </w:p>
    <w:p>
      <w:pPr>
        <w:ind w:right="340" w:firstLine="595"/>
        <w:spacing w:after="0" w:line="260" w:lineRule="auto"/>
        <w:rPr>
          <w:sz w:val="20"/>
          <w:szCs w:val="20"/>
          <w:color w:val="auto"/>
        </w:rPr>
      </w:pPr>
      <w:r>
        <w:rPr>
          <w:rFonts w:ascii="Arial" w:cs="Arial" w:eastAsia="Arial" w:hAnsi="Arial"/>
          <w:sz w:val="17"/>
          <w:szCs w:val="17"/>
          <w:color w:val="auto"/>
        </w:rPr>
        <w:t>Neither the failure to give notice, nor any defect in any notice so given, to any particular Holder of a Security shall affect the sufficiency of such notice with respect to other Holders of Securities given as provided above.</w:t>
      </w:r>
    </w:p>
    <w:p>
      <w:pPr>
        <w:spacing w:after="0" w:line="172" w:lineRule="exact"/>
        <w:rPr>
          <w:sz w:val="20"/>
          <w:szCs w:val="20"/>
          <w:color w:val="auto"/>
        </w:rPr>
      </w:pPr>
    </w:p>
    <w:p>
      <w:pPr>
        <w:ind w:right="60" w:firstLine="595"/>
        <w:spacing w:after="0" w:line="252" w:lineRule="auto"/>
        <w:rPr>
          <w:sz w:val="20"/>
          <w:szCs w:val="20"/>
          <w:color w:val="auto"/>
        </w:rPr>
      </w:pPr>
      <w:r>
        <w:rPr>
          <w:rFonts w:ascii="Arial" w:cs="Arial" w:eastAsia="Arial" w:hAnsi="Arial"/>
          <w:sz w:val="17"/>
          <w:szCs w:val="17"/>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78" w:lineRule="exact"/>
        <w:rPr>
          <w:sz w:val="20"/>
          <w:szCs w:val="20"/>
          <w:color w:val="auto"/>
        </w:rPr>
      </w:pPr>
    </w:p>
    <w:p>
      <w:pPr>
        <w:ind w:right="60" w:firstLine="595"/>
        <w:spacing w:after="0" w:line="288" w:lineRule="auto"/>
        <w:rPr>
          <w:sz w:val="20"/>
          <w:szCs w:val="20"/>
          <w:color w:val="auto"/>
        </w:rPr>
      </w:pPr>
      <w:r>
        <w:rPr>
          <w:rFonts w:ascii="Arial" w:cs="Arial" w:eastAsia="Arial" w:hAnsi="Arial"/>
          <w:sz w:val="15"/>
          <w:szCs w:val="15"/>
          <w:color w:val="auto"/>
        </w:rPr>
        <w:t xml:space="preserve">Section 11.05 </w:t>
      </w:r>
      <w:r>
        <w:rPr>
          <w:rFonts w:ascii="Arial" w:cs="Arial" w:eastAsia="Arial" w:hAnsi="Arial"/>
          <w:sz w:val="15"/>
          <w:szCs w:val="15"/>
          <w:i w:val="1"/>
          <w:iCs w:val="1"/>
          <w:color w:val="auto"/>
        </w:rPr>
        <w:t>Officer’s Certificates and Opinions of Counsel; Statements to Be Contained Therein.</w:t>
      </w:r>
      <w:r>
        <w:rPr>
          <w:rFonts w:ascii="Arial" w:cs="Arial" w:eastAsia="Arial" w:hAnsi="Arial"/>
          <w:sz w:val="15"/>
          <w:szCs w:val="15"/>
          <w:color w:val="auto"/>
        </w:rPr>
        <w:t xml:space="preserve"> Upon any application or demand by the Issuer to the Trustee to take any action under any of the provisions of this Indenture, the Issuer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6">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52" w:name="page153"/>
    <w:bookmarkEnd w:id="152"/>
    <w:p>
      <w:pPr>
        <w:ind w:firstLine="595"/>
        <w:spacing w:after="0" w:line="313" w:lineRule="auto"/>
        <w:rPr>
          <w:sz w:val="20"/>
          <w:szCs w:val="20"/>
          <w:color w:val="auto"/>
        </w:rPr>
      </w:pPr>
      <w:r>
        <w:rPr>
          <w:rFonts w:ascii="Arial" w:cs="Arial" w:eastAsia="Arial" w:hAnsi="Arial"/>
          <w:sz w:val="14"/>
          <w:szCs w:val="14"/>
          <w:color w:val="auto"/>
        </w:rPr>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or she has made such examination or investigation as is necessary to enable him or her to express an informed opinion as to whether or not such covenant or condition has been complied with and (d) a statement as to whether or not, in the opinion of such person, such condition or covenant has been complied with.</w:t>
      </w:r>
    </w:p>
    <w:p>
      <w:pPr>
        <w:spacing w:after="0" w:line="141" w:lineRule="exact"/>
        <w:rPr>
          <w:sz w:val="20"/>
          <w:szCs w:val="20"/>
          <w:color w:val="auto"/>
        </w:rPr>
      </w:pPr>
    </w:p>
    <w:p>
      <w:pPr>
        <w:ind w:firstLine="595"/>
        <w:spacing w:after="0" w:line="284" w:lineRule="auto"/>
        <w:rPr>
          <w:sz w:val="20"/>
          <w:szCs w:val="20"/>
          <w:color w:val="auto"/>
        </w:rPr>
      </w:pPr>
      <w:r>
        <w:rPr>
          <w:rFonts w:ascii="Arial" w:cs="Arial" w:eastAsia="Arial" w:hAnsi="Arial"/>
          <w:sz w:val="15"/>
          <w:szCs w:val="15"/>
          <w:color w:val="auto"/>
        </w:rPr>
        <w:t>Any certificate, statement or opinion of an officer of the Issuer may be based, insofar as it relates to legal matters, upon a certificate or opinion of or representations by counsel, unless such officer knows that the certificate or opinion or representations with respect to the matters upon which his or her certificate, statement or opinion may be based as aforesaid are erroneous, or in the exercise of reasonable care should know that the same are erroneous. Any certificate, statement or opinion of counsel may be based, insofar as it relates to factual matters, information with respect to which is in the possession of the Issuer, upon the certificate, statement or opinion of or representations by an officer or officers of the Issuer, unless such counsel knows that the certificate, statement or opinion or representations with respect to the matters upon which his or her certificate, statement or opinion may be based as aforesaid are erroneous, or in the exercise of reasonable care should know that the same are erroneous.</w:t>
      </w:r>
    </w:p>
    <w:p>
      <w:pPr>
        <w:spacing w:after="0" w:line="159" w:lineRule="exact"/>
        <w:rPr>
          <w:sz w:val="20"/>
          <w:szCs w:val="20"/>
          <w:color w:val="auto"/>
        </w:rPr>
      </w:pPr>
    </w:p>
    <w:p>
      <w:pPr>
        <w:jc w:val="both"/>
        <w:ind w:right="440" w:firstLine="595"/>
        <w:spacing w:after="0" w:line="293" w:lineRule="auto"/>
        <w:rPr>
          <w:sz w:val="20"/>
          <w:szCs w:val="20"/>
          <w:color w:val="auto"/>
        </w:rPr>
      </w:pPr>
      <w:r>
        <w:rPr>
          <w:rFonts w:ascii="Arial" w:cs="Arial" w:eastAsia="Arial" w:hAnsi="Arial"/>
          <w:sz w:val="15"/>
          <w:szCs w:val="15"/>
          <w:color w:val="auto"/>
        </w:rPr>
        <w:t>Any certificate, statement or opinion of an officer of the Issuer or of counsel may be based, insofar as it relates to accounting matters, upon a certificate or opinion of or representations by an accountant or firm of accountants in the employ of the Issuer, unless such officer or counsel, as the case may be, knows that the certificate or opinion or representations with respect to the accounting matters upon which his or her certificate, statement or opinion may be based as aforesaid are erroneous, or in the exercise of reasonable care should know that the same are erroneous.</w:t>
      </w:r>
    </w:p>
    <w:p>
      <w:pPr>
        <w:spacing w:after="0" w:line="150" w:lineRule="exact"/>
        <w:rPr>
          <w:sz w:val="20"/>
          <w:szCs w:val="20"/>
          <w:color w:val="auto"/>
        </w:rPr>
      </w:pPr>
    </w:p>
    <w:p>
      <w:pPr>
        <w:ind w:right="580" w:firstLine="595"/>
        <w:spacing w:after="0" w:line="260" w:lineRule="auto"/>
        <w:rPr>
          <w:sz w:val="20"/>
          <w:szCs w:val="20"/>
          <w:color w:val="auto"/>
        </w:rPr>
      </w:pPr>
      <w:r>
        <w:rPr>
          <w:rFonts w:ascii="Arial" w:cs="Arial" w:eastAsia="Arial" w:hAnsi="Arial"/>
          <w:sz w:val="17"/>
          <w:szCs w:val="17"/>
          <w:color w:val="auto"/>
        </w:rPr>
        <w:t>Any certificate or opinion of any independent firm of public accountants filed with and directed to the Trustee shall contain a statement that such firm is independent.</w:t>
      </w:r>
    </w:p>
    <w:p>
      <w:pPr>
        <w:spacing w:after="0" w:line="172" w:lineRule="exact"/>
        <w:rPr>
          <w:sz w:val="20"/>
          <w:szCs w:val="20"/>
          <w:color w:val="auto"/>
        </w:rPr>
      </w:pPr>
    </w:p>
    <w:p>
      <w:pPr>
        <w:ind w:right="20" w:firstLine="595"/>
        <w:spacing w:after="0" w:line="293" w:lineRule="auto"/>
        <w:rPr>
          <w:sz w:val="20"/>
          <w:szCs w:val="20"/>
          <w:color w:val="auto"/>
        </w:rPr>
      </w:pPr>
      <w:r>
        <w:rPr>
          <w:rFonts w:ascii="Arial" w:cs="Arial" w:eastAsia="Arial" w:hAnsi="Arial"/>
          <w:sz w:val="15"/>
          <w:szCs w:val="15"/>
          <w:color w:val="auto"/>
        </w:rPr>
        <w:t xml:space="preserve">Section 11.06 </w:t>
      </w:r>
      <w:r>
        <w:rPr>
          <w:rFonts w:ascii="Arial" w:cs="Arial" w:eastAsia="Arial" w:hAnsi="Arial"/>
          <w:sz w:val="15"/>
          <w:szCs w:val="15"/>
          <w:i w:val="1"/>
          <w:iCs w:val="1"/>
          <w:color w:val="auto"/>
        </w:rPr>
        <w:t>Payments Due on Saturdays, Sundays and Holidays.</w:t>
      </w:r>
      <w:r>
        <w:rPr>
          <w:rFonts w:ascii="Arial" w:cs="Arial" w:eastAsia="Arial" w:hAnsi="Arial"/>
          <w:sz w:val="15"/>
          <w:szCs w:val="15"/>
          <w:color w:val="auto"/>
        </w:rPr>
        <w:t xml:space="preserve"> If the date of maturity of interest on or principal of the Securities of any series or the date fixed for redemption or repayment of any such Security, or the last day on which a Holder has the right to convert any Security, shall not be a Business Day, then payment of interest or principal, or any conversion, need not be made on such date, but may be made on the next succeeding Business Day with the same force and effect as if made on the date of maturity or the date fixed for redemption or on such last day for conversion, and no interest shall accrue for the period after such date.</w:t>
      </w:r>
    </w:p>
    <w:p>
      <w:pPr>
        <w:spacing w:after="0" w:line="150" w:lineRule="exact"/>
        <w:rPr>
          <w:sz w:val="20"/>
          <w:szCs w:val="20"/>
          <w:color w:val="auto"/>
        </w:rPr>
      </w:pPr>
    </w:p>
    <w:p>
      <w:pPr>
        <w:ind w:right="80" w:firstLine="595"/>
        <w:spacing w:after="0" w:line="252" w:lineRule="auto"/>
        <w:rPr>
          <w:sz w:val="20"/>
          <w:szCs w:val="20"/>
          <w:color w:val="auto"/>
        </w:rPr>
      </w:pPr>
      <w:r>
        <w:rPr>
          <w:rFonts w:ascii="Arial" w:cs="Arial" w:eastAsia="Arial" w:hAnsi="Arial"/>
          <w:sz w:val="17"/>
          <w:szCs w:val="17"/>
          <w:color w:val="auto"/>
        </w:rPr>
        <w:t xml:space="preserve">Section 11.07 </w:t>
      </w:r>
      <w:r>
        <w:rPr>
          <w:rFonts w:ascii="Arial" w:cs="Arial" w:eastAsia="Arial" w:hAnsi="Arial"/>
          <w:sz w:val="17"/>
          <w:szCs w:val="17"/>
          <w:i w:val="1"/>
          <w:iCs w:val="1"/>
          <w:color w:val="auto"/>
        </w:rPr>
        <w:t>Conflict of Any Provision of Indenture With Trust Indenture Act of 1939.</w:t>
      </w:r>
      <w:r>
        <w:rPr>
          <w:rFonts w:ascii="Arial" w:cs="Arial" w:eastAsia="Arial" w:hAnsi="Arial"/>
          <w:sz w:val="17"/>
          <w:szCs w:val="17"/>
          <w:color w:val="auto"/>
        </w:rPr>
        <w:t xml:space="preserve"> If and to the extent that any provision of this Indenture limits, qualifies or conflicts with another provision included in this Indenture by operation of Sections 310 to 317, inclusive, of the Trust Indenture Act of 1939, such incorporated provision shall control.</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7">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53" w:name="page154"/>
    <w:bookmarkEnd w:id="153"/>
    <w:p>
      <w:pPr>
        <w:ind w:right="40" w:firstLine="595"/>
        <w:spacing w:after="0" w:line="301" w:lineRule="auto"/>
        <w:rPr>
          <w:sz w:val="20"/>
          <w:szCs w:val="20"/>
          <w:color w:val="auto"/>
        </w:rPr>
      </w:pPr>
      <w:r>
        <w:rPr>
          <w:rFonts w:ascii="Arial" w:cs="Arial" w:eastAsia="Arial" w:hAnsi="Arial"/>
          <w:sz w:val="15"/>
          <w:szCs w:val="15"/>
          <w:color w:val="auto"/>
        </w:rPr>
        <w:t>Section 11.08 New York Law to Govern. This Indenture and each Security shall be deemed to be a contract under the laws of the State of New York, and for all purposes shall be governed by and construed in accordance with the laws of such State without regard to any principle of conflict of laws that would require or permit the application of the laws of any other jurisdiction, except as may otherwise be required by mandatory provisions of law.</w:t>
      </w:r>
    </w:p>
    <w:p>
      <w:pPr>
        <w:spacing w:after="0" w:line="145" w:lineRule="exact"/>
        <w:rPr>
          <w:sz w:val="20"/>
          <w:szCs w:val="20"/>
          <w:color w:val="auto"/>
        </w:rPr>
      </w:pPr>
    </w:p>
    <w:p>
      <w:pPr>
        <w:ind w:right="280" w:firstLine="595"/>
        <w:spacing w:after="0" w:line="260" w:lineRule="auto"/>
        <w:rPr>
          <w:sz w:val="20"/>
          <w:szCs w:val="20"/>
          <w:color w:val="auto"/>
        </w:rPr>
      </w:pPr>
      <w:r>
        <w:rPr>
          <w:rFonts w:ascii="Arial" w:cs="Arial" w:eastAsia="Arial" w:hAnsi="Arial"/>
          <w:sz w:val="17"/>
          <w:szCs w:val="17"/>
          <w:color w:val="auto"/>
        </w:rPr>
        <w:t xml:space="preserve">Section 11.09 </w:t>
      </w:r>
      <w:r>
        <w:rPr>
          <w:rFonts w:ascii="Arial" w:cs="Arial" w:eastAsia="Arial" w:hAnsi="Arial"/>
          <w:sz w:val="17"/>
          <w:szCs w:val="17"/>
          <w:i w:val="1"/>
          <w:iCs w:val="1"/>
          <w:color w:val="auto"/>
        </w:rPr>
        <w:t>Counterparts.</w:t>
      </w:r>
      <w:r>
        <w:rPr>
          <w:rFonts w:ascii="Arial" w:cs="Arial" w:eastAsia="Arial" w:hAnsi="Arial"/>
          <w:sz w:val="17"/>
          <w:szCs w:val="17"/>
          <w:color w:val="auto"/>
        </w:rPr>
        <w:t xml:space="preserve"> This Indenture may be executed in any number of counterparts, each of which shall be an original; but such counterparts shall together constitute but one and the same instrument.</w:t>
      </w:r>
    </w:p>
    <w:p>
      <w:pPr>
        <w:spacing w:after="0" w:line="172" w:lineRule="exact"/>
        <w:rPr>
          <w:sz w:val="20"/>
          <w:szCs w:val="20"/>
          <w:color w:val="auto"/>
        </w:rPr>
      </w:pPr>
    </w:p>
    <w:p>
      <w:pPr>
        <w:ind w:right="620" w:firstLine="595"/>
        <w:spacing w:after="0" w:line="260" w:lineRule="auto"/>
        <w:rPr>
          <w:sz w:val="20"/>
          <w:szCs w:val="20"/>
          <w:color w:val="auto"/>
        </w:rPr>
      </w:pPr>
      <w:r>
        <w:rPr>
          <w:rFonts w:ascii="Arial" w:cs="Arial" w:eastAsia="Arial" w:hAnsi="Arial"/>
          <w:sz w:val="17"/>
          <w:szCs w:val="17"/>
          <w:color w:val="auto"/>
        </w:rPr>
        <w:t xml:space="preserve">Section 11.10 </w:t>
      </w:r>
      <w:r>
        <w:rPr>
          <w:rFonts w:ascii="Arial" w:cs="Arial" w:eastAsia="Arial" w:hAnsi="Arial"/>
          <w:sz w:val="17"/>
          <w:szCs w:val="17"/>
          <w:i w:val="1"/>
          <w:iCs w:val="1"/>
          <w:color w:val="auto"/>
        </w:rPr>
        <w:t>Effect of Headings.</w:t>
      </w:r>
      <w:r>
        <w:rPr>
          <w:rFonts w:ascii="Arial" w:cs="Arial" w:eastAsia="Arial" w:hAnsi="Arial"/>
          <w:sz w:val="17"/>
          <w:szCs w:val="17"/>
          <w:color w:val="auto"/>
        </w:rPr>
        <w:t xml:space="preserve"> The Article and Section headings herein and the Table of Contents are for convenience only and shall not affect the construction hereof.</w:t>
      </w:r>
    </w:p>
    <w:p>
      <w:pPr>
        <w:spacing w:after="0" w:line="172" w:lineRule="exact"/>
        <w:rPr>
          <w:sz w:val="20"/>
          <w:szCs w:val="20"/>
          <w:color w:val="auto"/>
        </w:rPr>
      </w:pPr>
    </w:p>
    <w:p>
      <w:pPr>
        <w:ind w:right="100" w:firstLine="595"/>
        <w:spacing w:after="0" w:line="252" w:lineRule="auto"/>
        <w:rPr>
          <w:sz w:val="20"/>
          <w:szCs w:val="20"/>
          <w:color w:val="auto"/>
        </w:rPr>
      </w:pPr>
      <w:r>
        <w:rPr>
          <w:rFonts w:ascii="Arial" w:cs="Arial" w:eastAsia="Arial" w:hAnsi="Arial"/>
          <w:sz w:val="17"/>
          <w:szCs w:val="17"/>
          <w:color w:val="auto"/>
        </w:rPr>
        <w:t xml:space="preserve">Section 11.11 </w:t>
      </w:r>
      <w:r>
        <w:rPr>
          <w:rFonts w:ascii="Arial" w:cs="Arial" w:eastAsia="Arial" w:hAnsi="Arial"/>
          <w:sz w:val="17"/>
          <w:szCs w:val="17"/>
          <w:i w:val="1"/>
          <w:iCs w:val="1"/>
          <w:color w:val="auto"/>
        </w:rPr>
        <w:t>Actions by Successor</w:t>
      </w:r>
      <w:r>
        <w:rPr>
          <w:rFonts w:ascii="Arial" w:cs="Arial" w:eastAsia="Arial" w:hAnsi="Arial"/>
          <w:sz w:val="17"/>
          <w:szCs w:val="17"/>
          <w:color w:val="auto"/>
        </w:rPr>
        <w:t>. Any act or proceeding by any provision of this Indenture authorized or required to be done or performed by any board of directors or its equivalent, committee or officer of the Issuer shall and may be done and performed with like force and effect by the corresponding board, committee or officer of any corporation that shall at the time be the lawful successor of the Issuer.</w:t>
      </w:r>
    </w:p>
    <w:p>
      <w:pPr>
        <w:spacing w:after="0" w:line="178" w:lineRule="exact"/>
        <w:rPr>
          <w:sz w:val="20"/>
          <w:szCs w:val="20"/>
          <w:color w:val="auto"/>
        </w:rPr>
      </w:pPr>
    </w:p>
    <w:p>
      <w:pPr>
        <w:ind w:right="120" w:firstLine="595"/>
        <w:spacing w:after="0" w:line="301" w:lineRule="auto"/>
        <w:rPr>
          <w:sz w:val="20"/>
          <w:szCs w:val="20"/>
          <w:color w:val="auto"/>
        </w:rPr>
      </w:pPr>
      <w:r>
        <w:rPr>
          <w:rFonts w:ascii="Arial" w:cs="Arial" w:eastAsia="Arial" w:hAnsi="Arial"/>
          <w:sz w:val="15"/>
          <w:szCs w:val="15"/>
          <w:color w:val="auto"/>
        </w:rPr>
        <w:t xml:space="preserve">Section 11.12 </w:t>
      </w:r>
      <w:r>
        <w:rPr>
          <w:rFonts w:ascii="Arial" w:cs="Arial" w:eastAsia="Arial" w:hAnsi="Arial"/>
          <w:sz w:val="15"/>
          <w:szCs w:val="15"/>
          <w:i w:val="1"/>
          <w:iCs w:val="1"/>
          <w:color w:val="auto"/>
        </w:rPr>
        <w:t>Severability</w:t>
      </w:r>
      <w:r>
        <w:rPr>
          <w:rFonts w:ascii="Arial" w:cs="Arial" w:eastAsia="Arial" w:hAnsi="Arial"/>
          <w:sz w:val="15"/>
          <w:szCs w:val="15"/>
          <w:color w:val="auto"/>
        </w:rPr>
        <w:t>. 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12</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REDEMPTION OF SECURITIES AND SINKING FUNDS</w:t>
      </w:r>
    </w:p>
    <w:p>
      <w:pPr>
        <w:spacing w:after="0" w:line="191" w:lineRule="exact"/>
        <w:rPr>
          <w:sz w:val="20"/>
          <w:szCs w:val="20"/>
          <w:color w:val="auto"/>
        </w:rPr>
      </w:pPr>
    </w:p>
    <w:p>
      <w:pPr>
        <w:ind w:right="220" w:firstLine="595"/>
        <w:spacing w:after="0" w:line="367" w:lineRule="auto"/>
        <w:rPr>
          <w:sz w:val="20"/>
          <w:szCs w:val="20"/>
          <w:color w:val="auto"/>
        </w:rPr>
      </w:pPr>
      <w:r>
        <w:rPr>
          <w:rFonts w:ascii="Arial" w:cs="Arial" w:eastAsia="Arial" w:hAnsi="Arial"/>
          <w:sz w:val="14"/>
          <w:szCs w:val="14"/>
          <w:color w:val="auto"/>
        </w:rPr>
        <w:t xml:space="preserve">Section 12.01 </w:t>
      </w:r>
      <w:r>
        <w:rPr>
          <w:rFonts w:ascii="Arial" w:cs="Arial" w:eastAsia="Arial" w:hAnsi="Arial"/>
          <w:sz w:val="14"/>
          <w:szCs w:val="14"/>
          <w:i w:val="1"/>
          <w:iCs w:val="1"/>
          <w:color w:val="auto"/>
        </w:rPr>
        <w:t>Applicability of Article.</w:t>
      </w:r>
      <w:r>
        <w:rPr>
          <w:rFonts w:ascii="Arial" w:cs="Arial" w:eastAsia="Arial" w:hAnsi="Arial"/>
          <w:sz w:val="14"/>
          <w:szCs w:val="14"/>
          <w:color w:val="auto"/>
        </w:rPr>
        <w:t xml:space="preserve"> The provisions of this Article shall be applicable to the Securities of any series which are redeemable before their maturity or to any sinking fund for the retirement of Securities of a series, except as otherwise specified, as contemplated by Section 2.03 for Securities of such series.</w:t>
      </w:r>
    </w:p>
    <w:p>
      <w:pPr>
        <w:spacing w:after="0" w:line="103" w:lineRule="exact"/>
        <w:rPr>
          <w:sz w:val="20"/>
          <w:szCs w:val="20"/>
          <w:color w:val="auto"/>
        </w:rPr>
      </w:pPr>
    </w:p>
    <w:p>
      <w:pPr>
        <w:ind w:firstLine="595"/>
        <w:spacing w:after="0" w:line="288" w:lineRule="auto"/>
        <w:rPr>
          <w:sz w:val="20"/>
          <w:szCs w:val="20"/>
          <w:color w:val="auto"/>
        </w:rPr>
      </w:pPr>
      <w:r>
        <w:rPr>
          <w:rFonts w:ascii="Arial" w:cs="Arial" w:eastAsia="Arial" w:hAnsi="Arial"/>
          <w:sz w:val="15"/>
          <w:szCs w:val="15"/>
          <w:color w:val="auto"/>
        </w:rPr>
        <w:t xml:space="preserve">Section 12.02 </w:t>
      </w:r>
      <w:r>
        <w:rPr>
          <w:rFonts w:ascii="Arial" w:cs="Arial" w:eastAsia="Arial" w:hAnsi="Arial"/>
          <w:sz w:val="15"/>
          <w:szCs w:val="15"/>
          <w:i w:val="1"/>
          <w:iCs w:val="1"/>
          <w:color w:val="auto"/>
        </w:rPr>
        <w:t>Notice of Redemption; Partial Redemptions.</w:t>
      </w:r>
      <w:r>
        <w:rPr>
          <w:rFonts w:ascii="Arial" w:cs="Arial" w:eastAsia="Arial" w:hAnsi="Arial"/>
          <w:sz w:val="15"/>
          <w:szCs w:val="15"/>
          <w:color w:val="auto"/>
        </w:rPr>
        <w:t xml:space="preserve"> Notice of redemption to the Holders of Securities of any series to be redeemed as a whole or in part at the option of the Issuer shall be given by providing notice of such redemption at least 10 days and not more than 60 days prior to the date fixed for redemption to such Holders of Securities of such series at their last addresses as they shall appear upon the Security register. Any notice which is given in the manner herein provided shall be conclusively presumed to have been duly given, whether or not the Holder receives the notice. Failure to give notice or any defect in the notice to the Holder of any Security of a series designated for redemption as a whole or in part shall not affect the validity of the proceedings for the redemption of any other Security of such series.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8">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20"/>
          </w:cols>
          <w:pgMar w:left="320" w:top="847" w:right="359" w:bottom="1440" w:gutter="0" w:footer="0" w:header="0"/>
        </w:sectPr>
      </w:pPr>
    </w:p>
    <w:bookmarkStart w:id="154" w:name="page155"/>
    <w:bookmarkEnd w:id="154"/>
    <w:p>
      <w:pPr>
        <w:ind w:right="80" w:firstLine="595"/>
        <w:spacing w:after="0" w:line="283" w:lineRule="auto"/>
        <w:rPr>
          <w:sz w:val="20"/>
          <w:szCs w:val="20"/>
          <w:color w:val="auto"/>
        </w:rPr>
      </w:pPr>
      <w:r>
        <w:rPr>
          <w:rFonts w:ascii="Arial" w:cs="Arial" w:eastAsia="Arial" w:hAnsi="Arial"/>
          <w:sz w:val="15"/>
          <w:szCs w:val="15"/>
          <w:color w:val="auto"/>
        </w:rPr>
        <w:t>The notice of redemption to each such Holder shall specify the principal amount of each Security of such series held by such Holder to be redeemed, the date fixed for redemption, the redemption price,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and shall also specify, if applicable, the conversion price then in effect and the date on which the right to convert such Securities or the portions thereof to be redeemed will expire. In case any Security of a series is to be redeemed in part only, the notice of redemption shall state the portion of the principal amount thereof to be redeemed and shall state that on and after the date fixed for redemption, upon surrender of such Security, a new Security or Securities of such series in principal amount equal to the unredeemed portion thereof will be issued.</w:t>
      </w:r>
    </w:p>
    <w:p>
      <w:pPr>
        <w:spacing w:after="0" w:line="159" w:lineRule="exact"/>
        <w:rPr>
          <w:sz w:val="20"/>
          <w:szCs w:val="20"/>
          <w:color w:val="auto"/>
        </w:rPr>
      </w:pPr>
    </w:p>
    <w:p>
      <w:pPr>
        <w:ind w:right="420" w:firstLine="595"/>
        <w:spacing w:after="0" w:line="260" w:lineRule="auto"/>
        <w:rPr>
          <w:sz w:val="20"/>
          <w:szCs w:val="20"/>
          <w:color w:val="auto"/>
        </w:rPr>
      </w:pPr>
      <w:r>
        <w:rPr>
          <w:rFonts w:ascii="Arial" w:cs="Arial" w:eastAsia="Arial" w:hAnsi="Arial"/>
          <w:sz w:val="17"/>
          <w:szCs w:val="17"/>
          <w:color w:val="auto"/>
        </w:rPr>
        <w:t>The notice of redemption of Securities of any series to be redeemed at the option of the Issuer shall be given by the Issuer or, at the Issuer’s request, by the Trustee in the name and at the expense of the Issuer.</w:t>
      </w:r>
    </w:p>
    <w:p>
      <w:pPr>
        <w:spacing w:after="0" w:line="172" w:lineRule="exact"/>
        <w:rPr>
          <w:sz w:val="20"/>
          <w:szCs w:val="20"/>
          <w:color w:val="auto"/>
        </w:rPr>
      </w:pPr>
    </w:p>
    <w:p>
      <w:pPr>
        <w:ind w:firstLine="595"/>
        <w:spacing w:after="0" w:line="281" w:lineRule="auto"/>
        <w:rPr>
          <w:sz w:val="20"/>
          <w:szCs w:val="20"/>
          <w:color w:val="auto"/>
        </w:rPr>
      </w:pPr>
      <w:r>
        <w:rPr>
          <w:rFonts w:ascii="Arial" w:cs="Arial" w:eastAsia="Arial" w:hAnsi="Arial"/>
          <w:sz w:val="15"/>
          <w:szCs w:val="15"/>
          <w:color w:val="auto"/>
        </w:rPr>
        <w:t>On or before the redemption date specified in the notice of redemption given as provided in this Section, the Issuer will deposit with the Trustee or with one or more paying agents (or, if the Issuer is acting as its own paying agent, set aside, segregate and hold in trust as provided in Section 3.04) an amount of money sufficient to redeem on the redemption date all the Securities of such series so called for redemption (other than those Securities theretofore surrendered for conversion into Common Stock in accordance with their terms) at the appropriate redemption price, together with accrued interest to the date fixed for redemption. If any Security called for redemption is converted pursuant hereto and in accordance with the terms thereof, any money deposited with the Trustee or any paying agent or so segregated and held in trust for the redemption of such Security shall be paid to the Issuer upon the Issuer’s request, or, if then held by the Issuer, shall be discharged from such trust. The Issuer will deliver to the Trustee at least 10 days prior to the date the notice required to be delivered to the Holders is to be sent (unless a shorter time period shall be acceptable to the Trustee) an Officer’s Certificate (which need not comply with Section 11.05) stating the aggregate principal amount of Securities to be redeemed. In case of a redemption at the election of the Issuer prior to the expiration of any restriction on such redemption, the Issuer shall deliver to the Trustee, prior to the giving of any notice of redemption to Holders pursuant to this Section, an Officer’s Certificate stating that such restriction has been complied with.</w:t>
      </w:r>
    </w:p>
    <w:p>
      <w:pPr>
        <w:spacing w:after="0" w:line="163" w:lineRule="exact"/>
        <w:rPr>
          <w:sz w:val="20"/>
          <w:szCs w:val="20"/>
          <w:color w:val="auto"/>
        </w:rPr>
      </w:pPr>
    </w:p>
    <w:p>
      <w:pPr>
        <w:ind w:firstLine="595"/>
        <w:spacing w:after="0" w:line="284" w:lineRule="auto"/>
        <w:rPr>
          <w:sz w:val="20"/>
          <w:szCs w:val="20"/>
          <w:color w:val="auto"/>
        </w:rPr>
      </w:pPr>
      <w:r>
        <w:rPr>
          <w:rFonts w:ascii="Arial" w:cs="Arial" w:eastAsia="Arial" w:hAnsi="Arial"/>
          <w:sz w:val="15"/>
          <w:szCs w:val="15"/>
          <w:color w:val="auto"/>
        </w:rPr>
        <w:t>If less than all the Securities of a series are to be redeemed, the Trustee shall select, in such manner as it shall deem appropriate and fair, Securities of such series to be redeemed in whole or in part. Securities may be redeemed in part in multiples equal to the minimum authorized denomination for Securities of such series or any multiple thereof. The Trustee shall promptly notify the Issuer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of any series shall relate, in the case of any Security redeemed or to be redeemed only in part, to the portion of the principal amount of such Security which has been or is to be redeemed. If any Security selected for partial redemption is surrendered for conversion after such selection, the converted portion of such Security shall be deemed (so far as may be possible) to be the portion selected for redemption.</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9">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55" w:name="page156"/>
    <w:bookmarkEnd w:id="155"/>
    <w:p>
      <w:pPr>
        <w:ind w:firstLine="595"/>
        <w:spacing w:after="0" w:line="281" w:lineRule="auto"/>
        <w:rPr>
          <w:sz w:val="20"/>
          <w:szCs w:val="20"/>
          <w:color w:val="auto"/>
        </w:rPr>
      </w:pPr>
      <w:r>
        <w:rPr>
          <w:rFonts w:ascii="Arial" w:cs="Arial" w:eastAsia="Arial" w:hAnsi="Arial"/>
          <w:sz w:val="15"/>
          <w:szCs w:val="15"/>
          <w:color w:val="auto"/>
        </w:rPr>
        <w:t xml:space="preserve">Section 12.03 Payment of Securities Called for Redemption.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said date (unless the Issuer shall default in the payment of such Securities at the redemption price, together with interest accrued to said date) interest on the Securities or portions of Securities so called for redemption shall cease to accrue, and such Securities shall cease from and after the date fixed for redemption to be convertible into Common Stock (to the extent otherwise convertible in accordance with their terms), if applicable, and cease to be entitled to any benefit or security under this Indenture, and except as provided in the paragraph below, the Holders thereof shall have no right in respect of such Securities 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Issuer at the applicable redemption price, together with interest accrued thereon to the date fixed for redemption; </w:t>
      </w:r>
      <w:r>
        <w:rPr>
          <w:rFonts w:ascii="Arial" w:cs="Arial" w:eastAsia="Arial" w:hAnsi="Arial"/>
          <w:sz w:val="15"/>
          <w:szCs w:val="15"/>
          <w:i w:val="1"/>
          <w:iCs w:val="1"/>
          <w:color w:val="auto"/>
        </w:rPr>
        <w:t>provided</w:t>
      </w:r>
      <w:r>
        <w:rPr>
          <w:rFonts w:ascii="Arial" w:cs="Arial" w:eastAsia="Arial" w:hAnsi="Arial"/>
          <w:sz w:val="15"/>
          <w:szCs w:val="15"/>
          <w:color w:val="auto"/>
        </w:rPr>
        <w:t>, that payment of interest becoming due on or prior to the date fixed for redemption shall be payable to the Holders of such Securities registered as such on the relevant record date subject to the terms and provisions of Sections 2.03 and 2.07 hereof.</w:t>
      </w:r>
    </w:p>
    <w:p>
      <w:pPr>
        <w:spacing w:after="0" w:line="163" w:lineRule="exact"/>
        <w:rPr>
          <w:sz w:val="20"/>
          <w:szCs w:val="20"/>
          <w:color w:val="auto"/>
        </w:rPr>
      </w:pPr>
    </w:p>
    <w:p>
      <w:pPr>
        <w:ind w:right="40" w:firstLine="595"/>
        <w:spacing w:after="0" w:line="301" w:lineRule="auto"/>
        <w:rPr>
          <w:sz w:val="20"/>
          <w:szCs w:val="20"/>
          <w:color w:val="auto"/>
        </w:rPr>
      </w:pPr>
      <w:r>
        <w:rPr>
          <w:rFonts w:ascii="Arial" w:cs="Arial" w:eastAsia="Arial" w:hAnsi="Arial"/>
          <w:sz w:val="15"/>
          <w:szCs w:val="15"/>
          <w:color w:val="auto"/>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such Security and, if applicable, such Security shall remain convertible into Common Stock until the principal of such Security shall have been paid or duly provided for.</w:t>
      </w:r>
    </w:p>
    <w:p>
      <w:pPr>
        <w:spacing w:after="0" w:line="145" w:lineRule="exact"/>
        <w:rPr>
          <w:sz w:val="20"/>
          <w:szCs w:val="20"/>
          <w:color w:val="auto"/>
        </w:rPr>
      </w:pPr>
    </w:p>
    <w:p>
      <w:pPr>
        <w:jc w:val="both"/>
        <w:ind w:right="40" w:firstLine="595"/>
        <w:spacing w:after="0" w:line="252" w:lineRule="auto"/>
        <w:rPr>
          <w:sz w:val="20"/>
          <w:szCs w:val="20"/>
          <w:color w:val="auto"/>
        </w:rPr>
      </w:pPr>
      <w:r>
        <w:rPr>
          <w:rFonts w:ascii="Arial" w:cs="Arial" w:eastAsia="Arial" w:hAnsi="Arial"/>
          <w:sz w:val="17"/>
          <w:szCs w:val="17"/>
          <w:color w:val="auto"/>
        </w:rPr>
        <w:t>Upon presentation of any Security redeemed in part only, the Issuer shall execute and the Trustee shall authenticate and deliver to or on the order of the Holder thereof, at the expense of the Issuer, a new Security or Securities of such series, of authorized denominations, in principal amount equal to the unredeemed portion of the Security so presented.</w:t>
      </w:r>
    </w:p>
    <w:p>
      <w:pPr>
        <w:spacing w:after="0" w:line="178" w:lineRule="exact"/>
        <w:rPr>
          <w:sz w:val="20"/>
          <w:szCs w:val="20"/>
          <w:color w:val="auto"/>
        </w:rPr>
      </w:pPr>
    </w:p>
    <w:p>
      <w:pPr>
        <w:ind w:right="140" w:firstLine="595"/>
        <w:spacing w:after="0" w:line="293" w:lineRule="auto"/>
        <w:rPr>
          <w:sz w:val="20"/>
          <w:szCs w:val="20"/>
          <w:color w:val="auto"/>
        </w:rPr>
      </w:pPr>
      <w:r>
        <w:rPr>
          <w:rFonts w:ascii="Arial" w:cs="Arial" w:eastAsia="Arial" w:hAnsi="Arial"/>
          <w:sz w:val="15"/>
          <w:szCs w:val="15"/>
          <w:color w:val="auto"/>
        </w:rPr>
        <w:t xml:space="preserve">Section 12.04 </w:t>
      </w:r>
      <w:r>
        <w:rPr>
          <w:rFonts w:ascii="Arial" w:cs="Arial" w:eastAsia="Arial" w:hAnsi="Arial"/>
          <w:sz w:val="15"/>
          <w:szCs w:val="15"/>
          <w:i w:val="1"/>
          <w:iCs w:val="1"/>
          <w:color w:val="auto"/>
        </w:rPr>
        <w:t>Exclusion of Certain Securities from Eligibility for Selection for Redemption.</w:t>
      </w:r>
      <w:r>
        <w:rPr>
          <w:rFonts w:ascii="Arial" w:cs="Arial" w:eastAsia="Arial" w:hAnsi="Arial"/>
          <w:sz w:val="15"/>
          <w:szCs w:val="15"/>
          <w:color w:val="auto"/>
        </w:rPr>
        <w:t xml:space="preserve"> Securities shall be excluded from eligibility for selection for redemption if they are identified by registration and certificate number in an Officer’s Certificate delivered to the Trustee at least 40 days prior to the last date on which notice of redemption may be given as being owned of record and beneficially by, and not pledged or hypothecated by either (a) the Issuer or (b) an entity specifically identified in such written statement as directly or indirectly controlling or controlled by or under direct or indirect common control with the Issuer.</w:t>
      </w:r>
    </w:p>
    <w:p>
      <w:pPr>
        <w:spacing w:after="0" w:line="150" w:lineRule="exact"/>
        <w:rPr>
          <w:sz w:val="20"/>
          <w:szCs w:val="20"/>
          <w:color w:val="auto"/>
        </w:rPr>
      </w:pPr>
    </w:p>
    <w:p>
      <w:pPr>
        <w:ind w:right="40" w:firstLine="595"/>
        <w:spacing w:after="0" w:line="249" w:lineRule="auto"/>
        <w:rPr>
          <w:sz w:val="20"/>
          <w:szCs w:val="20"/>
          <w:color w:val="auto"/>
        </w:rPr>
      </w:pPr>
      <w:r>
        <w:rPr>
          <w:rFonts w:ascii="Arial" w:cs="Arial" w:eastAsia="Arial" w:hAnsi="Arial"/>
          <w:sz w:val="17"/>
          <w:szCs w:val="17"/>
          <w:color w:val="auto"/>
        </w:rPr>
        <w:t xml:space="preserve">Section 12.05 </w:t>
      </w:r>
      <w:r>
        <w:rPr>
          <w:rFonts w:ascii="Arial" w:cs="Arial" w:eastAsia="Arial" w:hAnsi="Arial"/>
          <w:sz w:val="17"/>
          <w:szCs w:val="17"/>
          <w:i w:val="1"/>
          <w:iCs w:val="1"/>
          <w:color w:val="auto"/>
        </w:rPr>
        <w:t>Mandatory and Optional Sinking Funds.</w:t>
      </w:r>
      <w:r>
        <w:rPr>
          <w:rFonts w:ascii="Arial" w:cs="Arial" w:eastAsia="Arial" w:hAnsi="Arial"/>
          <w:sz w:val="17"/>
          <w:szCs w:val="17"/>
          <w:color w:val="auto"/>
        </w:rPr>
        <w:t xml:space="preserve"> The minimum amount of any sinking fund payment provided for by the terms of the Securities of any series is herein referred to as a “</w:t>
      </w:r>
      <w:r>
        <w:rPr>
          <w:rFonts w:ascii="Arial" w:cs="Arial" w:eastAsia="Arial" w:hAnsi="Arial"/>
          <w:sz w:val="17"/>
          <w:szCs w:val="17"/>
          <w:b w:val="1"/>
          <w:bCs w:val="1"/>
          <w:color w:val="auto"/>
        </w:rPr>
        <w:t>mandatory sinking fund payment</w:t>
      </w:r>
      <w:r>
        <w:rPr>
          <w:rFonts w:ascii="Arial" w:cs="Arial" w:eastAsia="Arial" w:hAnsi="Arial"/>
          <w:sz w:val="17"/>
          <w:szCs w:val="17"/>
          <w:color w:val="auto"/>
        </w:rPr>
        <w:t>”, and any payment in excess of such minimum amount provided for by the terms of the Securities of any series is herein referred to as an “</w:t>
      </w:r>
      <w:r>
        <w:rPr>
          <w:rFonts w:ascii="Arial" w:cs="Arial" w:eastAsia="Arial" w:hAnsi="Arial"/>
          <w:sz w:val="17"/>
          <w:szCs w:val="17"/>
          <w:b w:val="1"/>
          <w:bCs w:val="1"/>
          <w:color w:val="auto"/>
        </w:rPr>
        <w:t>optional sinking fund payment</w:t>
      </w:r>
      <w:r>
        <w:rPr>
          <w:rFonts w:ascii="Arial" w:cs="Arial" w:eastAsia="Arial" w:hAnsi="Arial"/>
          <w:sz w:val="17"/>
          <w:szCs w:val="17"/>
          <w:color w:val="auto"/>
        </w:rPr>
        <w:t>”. The date on which a sinking fund payment is to be made is herein referred to as the “</w:t>
      </w:r>
      <w:r>
        <w:rPr>
          <w:rFonts w:ascii="Arial" w:cs="Arial" w:eastAsia="Arial" w:hAnsi="Arial"/>
          <w:sz w:val="17"/>
          <w:szCs w:val="17"/>
          <w:b w:val="1"/>
          <w:bCs w:val="1"/>
          <w:color w:val="auto"/>
        </w:rPr>
        <w:t>sinking</w:t>
      </w:r>
      <w:r>
        <w:rPr>
          <w:rFonts w:ascii="Arial" w:cs="Arial" w:eastAsia="Arial" w:hAnsi="Arial"/>
          <w:sz w:val="17"/>
          <w:szCs w:val="17"/>
          <w:color w:val="auto"/>
        </w:rPr>
        <w:t xml:space="preserve"> </w:t>
      </w:r>
      <w:r>
        <w:rPr>
          <w:rFonts w:ascii="Arial" w:cs="Arial" w:eastAsia="Arial" w:hAnsi="Arial"/>
          <w:sz w:val="17"/>
          <w:szCs w:val="17"/>
          <w:b w:val="1"/>
          <w:bCs w:val="1"/>
          <w:color w:val="auto"/>
        </w:rPr>
        <w:t>fund payment date</w:t>
      </w:r>
      <w:r>
        <w:rPr>
          <w:rFonts w:ascii="Arial" w:cs="Arial" w:eastAsia="Arial" w:hAnsi="Arial"/>
          <w:sz w:val="17"/>
          <w:szCs w:val="17"/>
          <w:color w:val="auto"/>
        </w:rPr>
        <w:t>”.</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0">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20"/>
          </w:cols>
          <w:pgMar w:left="320" w:top="846" w:right="359" w:bottom="1440" w:gutter="0" w:footer="0" w:header="0"/>
        </w:sectPr>
      </w:pPr>
    </w:p>
    <w:bookmarkStart w:id="156" w:name="page157"/>
    <w:bookmarkEnd w:id="156"/>
    <w:p>
      <w:pPr>
        <w:ind w:firstLine="595"/>
        <w:spacing w:after="0" w:line="284" w:lineRule="auto"/>
        <w:rPr>
          <w:sz w:val="20"/>
          <w:szCs w:val="20"/>
          <w:color w:val="auto"/>
        </w:rPr>
      </w:pPr>
      <w:r>
        <w:rPr>
          <w:rFonts w:ascii="Arial" w:cs="Arial" w:eastAsia="Arial" w:hAnsi="Arial"/>
          <w:sz w:val="15"/>
          <w:szCs w:val="15"/>
          <w:color w:val="auto"/>
        </w:rPr>
        <w:t>In lieu of making all or any part of any mandatory sinking fund payment with respect to any series of Securities in cash, the Issuer may at its option (a) deliver to the Trustee Securities of such series theretofore purchased or otherwise acquired (except upon redemption pursuant to the mandatory sinking fund) by the Issuer or receive credit for Securities of such series (not previously so credited) theretofore purchased or otherwise acquired (except as aforesaid) by the Issuer and delivered to the Trustee for cancellation pursuant to Section 2.10 and, if applicable, receive credit for Securities (not previously so credited) converted into Common Stock and so delivered to the Trustee for cancellation, (b) receive credit for optional sinking fund payments (not previously so credited) made pursuant to this Section, or (c) receive credit for Securities of such series (not previously so credited) redeemed by the Issuer through any optional redemption provision contained in the terms of such series. Securities so delivered or credited shall be received or credited by the Trustee at the sinking fund redemption price specified in such Securities.</w:t>
      </w:r>
    </w:p>
    <w:p>
      <w:pPr>
        <w:spacing w:after="0" w:line="159" w:lineRule="exact"/>
        <w:rPr>
          <w:sz w:val="20"/>
          <w:szCs w:val="20"/>
          <w:color w:val="auto"/>
        </w:rPr>
      </w:pPr>
    </w:p>
    <w:p>
      <w:pPr>
        <w:ind w:firstLine="595"/>
        <w:spacing w:after="0" w:line="280" w:lineRule="auto"/>
        <w:rPr>
          <w:sz w:val="20"/>
          <w:szCs w:val="20"/>
          <w:color w:val="auto"/>
        </w:rPr>
      </w:pPr>
      <w:r>
        <w:rPr>
          <w:rFonts w:ascii="Arial" w:cs="Arial" w:eastAsia="Arial" w:hAnsi="Arial"/>
          <w:sz w:val="15"/>
          <w:szCs w:val="15"/>
          <w:color w:val="auto"/>
        </w:rPr>
        <w:t>On or before the 60th day next preceding each sinking fund payment date for any series, the Issuer will deliver to the Trustee an Officer’s Certificate (which need not contain the statements required by Section 11.05) (a) specifying the portion of the mandatory sinking fund payment to be satisfied by payment of cash and the portion to be satisfied by credit of Securities of such series and the basis for such credit, (b) stating that none of the Securities of such series for which credit will be taken has theretofore been so credited, (c) stating that no defaults in the payment of interest or Events of Default with respect to such series have occurred (which have not been waived or cured) and are continuing and (d) stating whether or not the Issuer intends to exercise its right to make an optional sinking fund payment with respect to such series and, if so, specifying the amount of such optional sinking fund payment which the Issuer intends to pay on or before the next succeeding sinking fund payment date. Any Securities of such series to be credited and required to be delivered to the Trustee in order for the Issuer to be entitled to credit therefor as aforesaid which have not theretofore been delivered to the Trustee shall be delivered for cancellation pursuant to Section 2.10 to the Trustee with such Officer’s Certificate (or reasonably promptly thereafter if acceptable to the Trustee). Such Officer’s Certificate shall be irrevocable and upon its receipt by the Trustee the Issuer shall become unconditionally obligated to make all the cash payments or payments therein referred to, if any, on or before the next succeeding sinking fund payment date. Failure of the Issuer, on or before any such 60th day, to deliver such Officer’s Certificate and Securities specified in this paragraph, if any, shall not constitute a default but shall constitute, on and as of such date, the irrevocable election of the Issuer that the mandatory sinking fund payment for such series due on the next succeeding sinking fund payment date shall be paid entirely in cash without the option to deliver or credit Securities of such series in respect thereof.</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1">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57" w:name="page158"/>
    <w:bookmarkEnd w:id="157"/>
    <w:p>
      <w:pPr>
        <w:ind w:right="40" w:firstLine="595"/>
        <w:spacing w:after="0" w:line="278" w:lineRule="auto"/>
        <w:rPr>
          <w:sz w:val="20"/>
          <w:szCs w:val="20"/>
          <w:color w:val="auto"/>
        </w:rPr>
      </w:pPr>
      <w:r>
        <w:rPr>
          <w:rFonts w:ascii="Arial" w:cs="Arial" w:eastAsia="Arial" w:hAnsi="Arial"/>
          <w:sz w:val="15"/>
          <w:szCs w:val="15"/>
          <w:color w:val="auto"/>
        </w:rPr>
        <w:t xml:space="preserve">If the sinking fund payment or payments (mandatory or optional or both) to be made in cash on the next succeeding sinking fund payment date plus any unused balance of any preceding sinking fund payments made in cash shall exceed $50,000 (or the equivalent thereof in any Foreign Currency or a lesser sum in Dollars or in any Foreign Currency if the Issuer shall so request) with respect to the Securities of any particular series, such cash shall be applied on the next succeeding sinking fund payment date to the redemption of Securities of such series at the sinking fund redemption price together with accrued interest to the date fixed for redemption. If such amount shall be $50,000 (or the equivalent thereof in any Foreign Currency) or less and the Issuer makes no such request then it shall be carried over until a sum in excess of $50,000 (or the equivalent thereof in any Foreign Currency) is available, which delay in accordance with this paragraph shall not be a default or breach of the obligation to make such payment. The Trustee shall select, in the manner provided in Section 12.02, for redemption on such sinking fund payment date a sufficient principal amount of Securities of such series to which such cash may be applied, as nearly as may be, and shall (if requested in writing by the Issuer) inform the Issuer of the serial numbers of the Securities of such series (or portions thereof) so selected. The Trustee, in the name and at the expense of the Issuer (or the Issuer, if it shall so request the Trustee in writing), shall cause notice of redemption of the Securities of such series to be given in substantially the manner provided in Section 12.02 (and with the effect provided in Section 12.03) for the redemption of Securities of such series in part at the option of the Issuer.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 The Issuer’s obligation to make a mandatory or optional sinking fund payment shall automatically be reduced by an amount equal to the sinking fund redemption price allocable to any Securities or portions thereof called for redemption pursuant to the preceding paragraph on any sinking fund payment date and converted into Common Stock in accordance with the terms of such Securities; </w:t>
      </w:r>
      <w:r>
        <w:rPr>
          <w:rFonts w:ascii="Arial" w:cs="Arial" w:eastAsia="Arial" w:hAnsi="Arial"/>
          <w:sz w:val="15"/>
          <w:szCs w:val="15"/>
          <w:i w:val="1"/>
          <w:iCs w:val="1"/>
          <w:color w:val="auto"/>
        </w:rPr>
        <w:t>provided that</w:t>
      </w:r>
      <w:r>
        <w:rPr>
          <w:rFonts w:ascii="Arial" w:cs="Arial" w:eastAsia="Arial" w:hAnsi="Arial"/>
          <w:sz w:val="15"/>
          <w:szCs w:val="15"/>
          <w:color w:val="auto"/>
        </w:rPr>
        <w:t>, if the Trustee is not the conversion agent for the Securities, the Issuer or such conversion agent shall give the Trustee written notice on or prior to the date fixed for redemption of the principal amount of Securities or portions thereof so converted.</w:t>
      </w:r>
    </w:p>
    <w:p>
      <w:pPr>
        <w:spacing w:after="0" w:line="173" w:lineRule="exact"/>
        <w:rPr>
          <w:sz w:val="20"/>
          <w:szCs w:val="20"/>
          <w:color w:val="auto"/>
        </w:rPr>
      </w:pPr>
    </w:p>
    <w:p>
      <w:pPr>
        <w:ind w:right="120" w:firstLine="595"/>
        <w:spacing w:after="0" w:line="260" w:lineRule="auto"/>
        <w:rPr>
          <w:sz w:val="20"/>
          <w:szCs w:val="20"/>
          <w:color w:val="auto"/>
        </w:rPr>
      </w:pPr>
      <w:r>
        <w:rPr>
          <w:rFonts w:ascii="Arial" w:cs="Arial" w:eastAsia="Arial" w:hAnsi="Arial"/>
          <w:sz w:val="17"/>
          <w:szCs w:val="17"/>
          <w:color w:val="auto"/>
        </w:rPr>
        <w:t>On or before each sinking fund payment date, the Issuer shall pay to the Trustee in cash or shall otherwise provide for the payment of all interest accrued to the date fixed for redemption on Securities to be redeemed on such sinking fund payment date.</w:t>
      </w:r>
    </w:p>
    <w:p>
      <w:pPr>
        <w:spacing w:after="0" w:line="172" w:lineRule="exact"/>
        <w:rPr>
          <w:sz w:val="20"/>
          <w:szCs w:val="20"/>
          <w:color w:val="auto"/>
        </w:rPr>
      </w:pPr>
    </w:p>
    <w:p>
      <w:pPr>
        <w:ind w:firstLine="595"/>
        <w:spacing w:after="0" w:line="283" w:lineRule="auto"/>
        <w:rPr>
          <w:sz w:val="20"/>
          <w:szCs w:val="20"/>
          <w:color w:val="auto"/>
        </w:rPr>
      </w:pPr>
      <w:r>
        <w:rPr>
          <w:rFonts w:ascii="Arial" w:cs="Arial" w:eastAsia="Arial" w:hAnsi="Arial"/>
          <w:sz w:val="15"/>
          <w:szCs w:val="15"/>
          <w:color w:val="auto"/>
        </w:rPr>
        <w:t>The Trustee shall not redeem or cause to be redeemed any Securities of a series with sinking fund moneys or give any notice of redemption of Securities for such series by operation of the sinking fund during the continuance of a default in payment of interest on such Securities or of any Event of Default except that, where providing notice of redemption of any Securities shall theretofore have been made, the Trustee shall redeem or cause to be redeemed such Securities, provided that it shall have received from the Issuer a sum sufficient for such redemption. Except as aforesaid, any moneys in the sinking fund for such series at the time when any such default or Event of Default shall occur, and any moneys thereafter paid into the sinking fund, shall, during the continuance of such default or Event of Default, be deemed to have been collected under Article 5 and held for the payment of all such Securities. In case such Event of Default shall have been waived as provided in Section 5.10, or the default cured on or before the 60th day preceding the sinking fund payment date in any year, such moneys shall thereafter be applied on such sinking fund payment date in accordance with this Section to the redemption of such Securities.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2">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58" w:name="page159"/>
    <w:bookmarkEnd w:id="158"/>
    <w:p>
      <w:pPr>
        <w:jc w:val="center"/>
        <w:ind w:right="-39"/>
        <w:spacing w:after="0"/>
        <w:rPr>
          <w:sz w:val="20"/>
          <w:szCs w:val="20"/>
          <w:color w:val="auto"/>
        </w:rPr>
      </w:pPr>
      <w:r>
        <w:rPr>
          <w:rFonts w:ascii="Arial" w:cs="Arial" w:eastAsia="Arial" w:hAnsi="Arial"/>
          <w:sz w:val="17"/>
          <w:szCs w:val="17"/>
          <w:color w:val="auto"/>
        </w:rPr>
        <w:t>ARTICLE 13</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SUBORDINATION OF SECURITIES</w:t>
      </w:r>
    </w:p>
    <w:p>
      <w:pPr>
        <w:spacing w:after="0" w:line="191" w:lineRule="exact"/>
        <w:rPr>
          <w:sz w:val="20"/>
          <w:szCs w:val="20"/>
          <w:color w:val="auto"/>
        </w:rPr>
      </w:pPr>
    </w:p>
    <w:p>
      <w:pPr>
        <w:jc w:val="both"/>
        <w:ind w:right="40" w:firstLine="595"/>
        <w:spacing w:after="0" w:line="252" w:lineRule="auto"/>
        <w:rPr>
          <w:sz w:val="20"/>
          <w:szCs w:val="20"/>
          <w:color w:val="auto"/>
        </w:rPr>
      </w:pPr>
      <w:r>
        <w:rPr>
          <w:rFonts w:ascii="Arial" w:cs="Arial" w:eastAsia="Arial" w:hAnsi="Arial"/>
          <w:sz w:val="17"/>
          <w:szCs w:val="17"/>
          <w:color w:val="auto"/>
        </w:rPr>
        <w:t xml:space="preserve">Section 13.01 </w:t>
      </w:r>
      <w:r>
        <w:rPr>
          <w:rFonts w:ascii="Arial" w:cs="Arial" w:eastAsia="Arial" w:hAnsi="Arial"/>
          <w:sz w:val="17"/>
          <w:szCs w:val="17"/>
          <w:i w:val="1"/>
          <w:iCs w:val="1"/>
          <w:color w:val="auto"/>
        </w:rPr>
        <w:t>Agreement of Subordination.</w:t>
      </w:r>
      <w:r>
        <w:rPr>
          <w:rFonts w:ascii="Arial" w:cs="Arial" w:eastAsia="Arial" w:hAnsi="Arial"/>
          <w:sz w:val="17"/>
          <w:szCs w:val="17"/>
          <w:color w:val="auto"/>
        </w:rPr>
        <w:t xml:space="preserve"> The Issuer covenants and agrees, and each holder of Securities issued hereunder by its acceptance thereof likewise covenants and agrees, that all Securities shall be issued subject to the provisions of this Article 13; and each Securityholder, whether upon original issue or upon transfer or assignment thereof, accepts and agrees to be bound by such provisions.</w:t>
      </w:r>
    </w:p>
    <w:p>
      <w:pPr>
        <w:spacing w:after="0" w:line="178" w:lineRule="exact"/>
        <w:rPr>
          <w:sz w:val="20"/>
          <w:szCs w:val="20"/>
          <w:color w:val="auto"/>
        </w:rPr>
      </w:pPr>
    </w:p>
    <w:p>
      <w:pPr>
        <w:jc w:val="both"/>
        <w:ind w:right="220" w:firstLine="595"/>
        <w:spacing w:after="0" w:line="367" w:lineRule="auto"/>
        <w:rPr>
          <w:sz w:val="20"/>
          <w:szCs w:val="20"/>
          <w:color w:val="auto"/>
        </w:rPr>
      </w:pPr>
      <w:r>
        <w:rPr>
          <w:rFonts w:ascii="Arial" w:cs="Arial" w:eastAsia="Arial" w:hAnsi="Arial"/>
          <w:sz w:val="14"/>
          <w:szCs w:val="14"/>
          <w:color w:val="auto"/>
        </w:rPr>
        <w:t>The payment of the principal of and interest on all Securities issued hereunder shall, to the extent and in the manner hereinafter set forth, be subordinated and subject in right of payment to the prior payment in full of all Senior Indebtedness of the Issuer, whether outstanding at the date of this Indenture or thereafter incurred.</w:t>
      </w:r>
    </w:p>
    <w:p>
      <w:pPr>
        <w:spacing w:after="0" w:line="10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provisions of this Article 13 define the subordination of the Securities, as obligations of the Issuer, with respect to Senior Indebtedness of the Issuer.</w:t>
      </w:r>
    </w:p>
    <w:p>
      <w:pPr>
        <w:spacing w:after="0" w:line="22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 provision of this Article 13 shall prevent the occurrence of any default or Event of Default hereunder.</w:t>
      </w:r>
    </w:p>
    <w:p>
      <w:pPr>
        <w:spacing w:after="0" w:line="201" w:lineRule="exact"/>
        <w:rPr>
          <w:sz w:val="20"/>
          <w:szCs w:val="20"/>
          <w:color w:val="auto"/>
        </w:rPr>
      </w:pPr>
    </w:p>
    <w:p>
      <w:pPr>
        <w:ind w:right="60" w:firstLine="595"/>
        <w:spacing w:after="0" w:line="247" w:lineRule="auto"/>
        <w:rPr>
          <w:sz w:val="20"/>
          <w:szCs w:val="20"/>
          <w:color w:val="auto"/>
        </w:rPr>
      </w:pPr>
      <w:r>
        <w:rPr>
          <w:rFonts w:ascii="Arial" w:cs="Arial" w:eastAsia="Arial" w:hAnsi="Arial"/>
          <w:sz w:val="17"/>
          <w:szCs w:val="17"/>
          <w:color w:val="auto"/>
        </w:rPr>
        <w:t xml:space="preserve">Section 13.02 </w:t>
      </w:r>
      <w:r>
        <w:rPr>
          <w:rFonts w:ascii="Arial" w:cs="Arial" w:eastAsia="Arial" w:hAnsi="Arial"/>
          <w:sz w:val="17"/>
          <w:szCs w:val="17"/>
          <w:i w:val="1"/>
          <w:iCs w:val="1"/>
          <w:color w:val="auto"/>
        </w:rPr>
        <w:t>Payments to Securityholders.</w:t>
      </w:r>
      <w:r>
        <w:rPr>
          <w:rFonts w:ascii="Arial" w:cs="Arial" w:eastAsia="Arial" w:hAnsi="Arial"/>
          <w:sz w:val="17"/>
          <w:szCs w:val="17"/>
          <w:color w:val="auto"/>
        </w:rPr>
        <w:t xml:space="preserve"> In the event and during the continuation of any default in the payment of principal, premium, interest or any other payment due on any Senior Indebtedness of the Issuer continuing beyond the period of grace, if any, specified in the instrument or lease evidencing such Senior Indebtedness of the Issuer, then, unless and until such default shall have been cured or waived or shall have ceased to exist, no payment shall be made by the Issuer with respect to the principal of or interest on the Securities, except sinking fund obligations satisfied by credit of acquired Securities under Section 12.05 prior to the happening of such default and payments made pursuant to Article 10 hereof from monies deposited with the Trustee pursuant thereto prior to the happening of such default.</w:t>
      </w:r>
    </w:p>
    <w:p>
      <w:pPr>
        <w:spacing w:after="0" w:line="182" w:lineRule="exact"/>
        <w:rPr>
          <w:sz w:val="20"/>
          <w:szCs w:val="20"/>
          <w:color w:val="auto"/>
        </w:rPr>
      </w:pPr>
    </w:p>
    <w:p>
      <w:pPr>
        <w:ind w:firstLine="595"/>
        <w:spacing w:after="0" w:line="280" w:lineRule="auto"/>
        <w:rPr>
          <w:sz w:val="20"/>
          <w:szCs w:val="20"/>
          <w:color w:val="auto"/>
        </w:rPr>
      </w:pPr>
      <w:r>
        <w:rPr>
          <w:rFonts w:ascii="Arial" w:cs="Arial" w:eastAsia="Arial" w:hAnsi="Arial"/>
          <w:sz w:val="15"/>
          <w:szCs w:val="15"/>
          <w:color w:val="auto"/>
        </w:rPr>
        <w:t>Upon any payment by the Issuer, or distribution of assets of the Issuer of any kind or character, whether in cash, property or securities, to creditors upon any dissolution or winding-up or liquidation or reorganization of the Issuer, whether voluntary or involuntary or in bankruptcy, insolvency, receivership or other proceedings, all amounts due or to become due upon all Senior Indebtedness of the Issuer shall first be paid in full, or payment thereof provided for in money in accordance with its terms, before any payment is made on account of the principal or interest on the Securities (except payments made pursuant to Article 10 hereof from monies deposited with the Trustee pursuant thereto prior to the happening of such dissolution, winding-up, liquidation or reorganization); and upon any such dissolution or winding-up or liquidation or reorganization any payment by the Issuer, or distribution of assets of the Issuer of any kind or character, whether in cash, property or securities, to which the holders of the Securities or the Trustee would be entitled, except for the provisions of this Article 13, shall (except as aforesaid) be paid by the Issuer or by any receiver, trustee in bankruptcy, liquidating trustee, agent or other Person making such payment or distribution, or by the holders of the Securities or by the Trustee under this Indenture if received by them or it, directly to the holders of Senior Indebtedness of the Issuer (pro rata to such holders on the basis of the respective amounts of Senior Indebtedness of the Issuer held by such holders, as calculated by the Issuer) or their representative or representatives, or to the trustee or trustees under any indenture pursuant to which any instruments evidencing any Senior Indebtedness of the Issuer may have been issued, as their respective interests may appear, to the extent necessary to pay all Senior Indebtedness of the Issuer in full, in money or money’s worth, after giving effect to any concurrent payment or distribution to or for the holders of Senior Indebtedness of the Issuer, before any payment or distribution is made to the holders of the Securities or to the Trustee.</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3">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20"/>
          </w:cols>
          <w:pgMar w:left="320" w:top="847" w:right="359" w:bottom="1440" w:gutter="0" w:footer="0" w:header="0"/>
        </w:sectPr>
      </w:pPr>
    </w:p>
    <w:bookmarkStart w:id="159" w:name="page160"/>
    <w:bookmarkEnd w:id="159"/>
    <w:p>
      <w:pPr>
        <w:ind w:right="120" w:firstLine="595"/>
        <w:spacing w:after="0" w:line="284" w:lineRule="auto"/>
        <w:rPr>
          <w:sz w:val="20"/>
          <w:szCs w:val="20"/>
          <w:color w:val="auto"/>
        </w:rPr>
      </w:pPr>
      <w:r>
        <w:rPr>
          <w:rFonts w:ascii="Arial" w:cs="Arial" w:eastAsia="Arial" w:hAnsi="Arial"/>
          <w:sz w:val="15"/>
          <w:szCs w:val="15"/>
          <w:color w:val="auto"/>
        </w:rPr>
        <w:t>In the event that, notwithstanding the foregoing, any payment or distribution of assets of the Issuer of any kind or character, whether in cash, property or securities, prohibited by the foregoing, shall be received by the Trustee or the holders of the Securities before all Senior Indebtedness of the Issuer is paid in full, or provision is made for such payment in money in accordance with its terms, such payment or distribution shall be held in trust for the benefit of and shall be paid over or delivered to the holders of Senior Indebtedness of the Issuer or their representative or representatives, or to the trustee or trustees under any indenture pursuant to which any instruments evidencing any Senior Indebtedness of the Issuer may have been issued, as their respective interests may appear, as calculated by the Issuer, for application to the payment of all Senior Indebtedness of the Issuer remaining unpaid to the extent necessary to pay all Senior Indebtedness of the Issuer in full in money in accordance with its terms, after giving effect to any concurrent payment or distribution to or for the holders of such Senior Indebtedness.</w:t>
      </w:r>
    </w:p>
    <w:p>
      <w:pPr>
        <w:spacing w:after="0" w:line="159" w:lineRule="exact"/>
        <w:rPr>
          <w:sz w:val="20"/>
          <w:szCs w:val="20"/>
          <w:color w:val="auto"/>
        </w:rPr>
      </w:pPr>
    </w:p>
    <w:p>
      <w:pPr>
        <w:ind w:firstLine="595"/>
        <w:spacing w:after="0" w:line="247" w:lineRule="auto"/>
        <w:rPr>
          <w:sz w:val="20"/>
          <w:szCs w:val="20"/>
          <w:color w:val="auto"/>
        </w:rPr>
      </w:pPr>
      <w:r>
        <w:rPr>
          <w:rFonts w:ascii="Arial" w:cs="Arial" w:eastAsia="Arial" w:hAnsi="Arial"/>
          <w:sz w:val="17"/>
          <w:szCs w:val="17"/>
          <w:color w:val="auto"/>
        </w:rPr>
        <w:t>For purposes of this Article 13, the words, “cash, property or securities” shall not be deemed to include shares of stock of the Issuer as reorganized or readjusted, or securities of the Issuer or any other corporation provided for by a plan of reorganization or readjustment, the payment of which is subordinated at least to the extent provided in this Article 13 with respect to the Securities to the payment of all Senior Indebtedness of the Issuer which may at the time be outstanding; provided that (i) the Senior Indebtedness of the Issuer is assumed by the new corporation, if any, resulting from any such reorganization or readjustment, and (ii) the rights of the holders of the Senior Indebtedness of the Issuer (other than leases) and of leases which are assumed are not, without the consent of such holders, altered by such reorganization or readjustment.</w:t>
      </w:r>
    </w:p>
    <w:p>
      <w:pPr>
        <w:spacing w:after="0" w:line="182" w:lineRule="exact"/>
        <w:rPr>
          <w:sz w:val="20"/>
          <w:szCs w:val="20"/>
          <w:color w:val="auto"/>
        </w:rPr>
      </w:pPr>
    </w:p>
    <w:p>
      <w:pPr>
        <w:ind w:right="80" w:firstLine="595"/>
        <w:spacing w:after="0" w:line="249" w:lineRule="auto"/>
        <w:rPr>
          <w:sz w:val="20"/>
          <w:szCs w:val="20"/>
          <w:color w:val="auto"/>
        </w:rPr>
      </w:pPr>
      <w:r>
        <w:rPr>
          <w:rFonts w:ascii="Arial" w:cs="Arial" w:eastAsia="Arial" w:hAnsi="Arial"/>
          <w:sz w:val="17"/>
          <w:szCs w:val="17"/>
          <w:color w:val="auto"/>
        </w:rPr>
        <w:t>The consolidation of the Issuer with, or the merger of the Issuer into, another Person or the liquidation or dissolution of the Issuer following the conveyance or transfer of its property as an entirety, or substantially as an entirety, to another Person upon the terms and conditions provided for in Article 9 hereof shall not be deemed a dissolution, winding-up, liquidation or reorganization for the purposes of this Section 13.02 if such other Person shall, as a part of such consolidation, merger, conveyance or transfer, comply with the conditions stated in Article 9 hereof.</w:t>
      </w:r>
    </w:p>
    <w:p>
      <w:pPr>
        <w:spacing w:after="0" w:line="181" w:lineRule="exact"/>
        <w:rPr>
          <w:sz w:val="20"/>
          <w:szCs w:val="20"/>
          <w:color w:val="auto"/>
        </w:rPr>
      </w:pPr>
    </w:p>
    <w:p>
      <w:pPr>
        <w:ind w:right="40" w:firstLine="595"/>
        <w:spacing w:after="0" w:line="283" w:lineRule="auto"/>
        <w:rPr>
          <w:sz w:val="20"/>
          <w:szCs w:val="20"/>
          <w:color w:val="auto"/>
        </w:rPr>
      </w:pPr>
      <w:r>
        <w:rPr>
          <w:rFonts w:ascii="Arial" w:cs="Arial" w:eastAsia="Arial" w:hAnsi="Arial"/>
          <w:sz w:val="15"/>
          <w:szCs w:val="15"/>
          <w:color w:val="auto"/>
        </w:rPr>
        <w:t xml:space="preserve">Section 13.03 </w:t>
      </w:r>
      <w:r>
        <w:rPr>
          <w:rFonts w:ascii="Arial" w:cs="Arial" w:eastAsia="Arial" w:hAnsi="Arial"/>
          <w:sz w:val="15"/>
          <w:szCs w:val="15"/>
          <w:i w:val="1"/>
          <w:iCs w:val="1"/>
          <w:color w:val="auto"/>
        </w:rPr>
        <w:t>Subrogation of Securities.</w:t>
      </w:r>
      <w:r>
        <w:rPr>
          <w:rFonts w:ascii="Arial" w:cs="Arial" w:eastAsia="Arial" w:hAnsi="Arial"/>
          <w:sz w:val="15"/>
          <w:szCs w:val="15"/>
          <w:color w:val="auto"/>
        </w:rPr>
        <w:t xml:space="preserve"> Subject to the payment in full of all Senior Indebtedness of the Issuer, the rights of the holders of the Securities shall be subrogated to the rights of the holders of Senior Indebtedness of the Issuer to receive payments or distributions of cash, property or securities of the Issuer applicable to the Senior Indebtedness of the Issuer until the principal of and interest on the Securities shall be paid in full; and, for the purposes of such subrogation, no payments or distributions to or for the benefit of the holders of the Senior Indebtedness of the Issuer or the Trustee of any cash, property or securities to which the holders of the Securities or the Trustee would be entitled except for the provisions of this Article 13, shall, as between the Issuer, its creditors other than holders of Senior Indebtedness of the Issuer, and the holders of the Securities, be deemed to be a payment by the Issuer to or on account of the Senior Indebtedness of the Issuer. It is understood that the provisions of this Article 13 are and are intended solely for the purpose of defining the relative rights of the holders of the Securities, on the one hand, and the holders of the Senior Indebtedness of the Issuer, on the other hand.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4">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60" w:name="page161"/>
    <w:bookmarkEnd w:id="160"/>
    <w:p>
      <w:pPr>
        <w:ind w:right="60" w:firstLine="595"/>
        <w:spacing w:after="0" w:line="284" w:lineRule="auto"/>
        <w:rPr>
          <w:sz w:val="20"/>
          <w:szCs w:val="20"/>
          <w:color w:val="auto"/>
        </w:rPr>
      </w:pPr>
      <w:r>
        <w:rPr>
          <w:rFonts w:ascii="Arial" w:cs="Arial" w:eastAsia="Arial" w:hAnsi="Arial"/>
          <w:sz w:val="15"/>
          <w:szCs w:val="15"/>
          <w:color w:val="auto"/>
        </w:rPr>
        <w:t>Nothing contained in this Article 13 or elsewhere in this Indenture or in the Securities is intended to or shall impair, as between the Issuer, its creditors other than the holders of its Senior Indebtedness, and the holders of the Securities, the obligation of the Issuer, which is absolute and unconditional, to pay to the holders of the Securities the principal of and interest on the Securities as and when the same shall become due and payable in accordance with their terms, or is intended to or shall affect the relative rights of the holders of the Securities and creditors of the Issuer other than the holders of its Senior Indebtedness, nor shall anything herein or therein prevent the Trustee or the holder of any Security from exercising all remedies otherwise permitted by applicable law upon default under this Indenture, subject to the rights, if any, under this Article 13 of the holders of Senior Indebtedness of the Issuer in respect of cash, property or securities of the Issuer received upon the exercise of any such remedy.</w:t>
      </w:r>
    </w:p>
    <w:p>
      <w:pPr>
        <w:spacing w:after="0" w:line="159" w:lineRule="exact"/>
        <w:rPr>
          <w:sz w:val="20"/>
          <w:szCs w:val="20"/>
          <w:color w:val="auto"/>
        </w:rPr>
      </w:pPr>
    </w:p>
    <w:p>
      <w:pPr>
        <w:ind w:right="120" w:firstLine="595"/>
        <w:spacing w:after="0" w:line="247" w:lineRule="auto"/>
        <w:rPr>
          <w:sz w:val="20"/>
          <w:szCs w:val="20"/>
          <w:color w:val="auto"/>
        </w:rPr>
      </w:pPr>
      <w:r>
        <w:rPr>
          <w:rFonts w:ascii="Arial" w:cs="Arial" w:eastAsia="Arial" w:hAnsi="Arial"/>
          <w:sz w:val="17"/>
          <w:szCs w:val="17"/>
          <w:color w:val="auto"/>
        </w:rPr>
        <w:t>Upon any payment or distribution of assets of the Issuer referred to in this Article 13, the Trustee, subject to the provisions of Section 6.01, and the holders of the Securities shall be entitled to rely upon any order or decree made by any court of competent jurisdiction in which such dissolution, winding-up, liquidation or reorganization proceedings are pending, or a certificate of the receiver, trustee in bankruptcy, liquidating trustee, agent or other Person making such payment or distribution, delivered to the Trustee or to the holders of the Securities, for the purpose of ascertaining the Persons entitled to participate in such distribution, the holders of the Senior Indebtedness and other indebtedness of the Issuer, the amount thereof or payable thereon, the amount or amounts paid or distributed thereon and all other facts pertinent thereto or to this Article 13.</w:t>
      </w:r>
    </w:p>
    <w:p>
      <w:pPr>
        <w:spacing w:after="0" w:line="182" w:lineRule="exact"/>
        <w:rPr>
          <w:sz w:val="20"/>
          <w:szCs w:val="20"/>
          <w:color w:val="auto"/>
        </w:rPr>
      </w:pPr>
    </w:p>
    <w:p>
      <w:pPr>
        <w:ind w:firstLine="595"/>
        <w:spacing w:after="0" w:line="252" w:lineRule="auto"/>
        <w:rPr>
          <w:sz w:val="20"/>
          <w:szCs w:val="20"/>
          <w:color w:val="auto"/>
        </w:rPr>
      </w:pPr>
      <w:r>
        <w:rPr>
          <w:rFonts w:ascii="Arial" w:cs="Arial" w:eastAsia="Arial" w:hAnsi="Arial"/>
          <w:sz w:val="17"/>
          <w:szCs w:val="17"/>
          <w:color w:val="auto"/>
        </w:rPr>
        <w:t xml:space="preserve">Section 13.04 </w:t>
      </w:r>
      <w:r>
        <w:rPr>
          <w:rFonts w:ascii="Arial" w:cs="Arial" w:eastAsia="Arial" w:hAnsi="Arial"/>
          <w:sz w:val="17"/>
          <w:szCs w:val="17"/>
          <w:i w:val="1"/>
          <w:iCs w:val="1"/>
          <w:color w:val="auto"/>
        </w:rPr>
        <w:t>Authorization by Securityholders.</w:t>
      </w:r>
      <w:r>
        <w:rPr>
          <w:rFonts w:ascii="Arial" w:cs="Arial" w:eastAsia="Arial" w:hAnsi="Arial"/>
          <w:sz w:val="17"/>
          <w:szCs w:val="17"/>
          <w:color w:val="auto"/>
        </w:rPr>
        <w:t xml:space="preserve"> Each holder of a Security by its acceptance thereof authorizes and directs the Trustee on its behalf to take such action as may be necessary or appropriate to effectuate the subordination provided in this Article 13 appoints the Trustee its attorney-in-fact for any and all such purposes.</w:t>
      </w:r>
    </w:p>
    <w:p>
      <w:pPr>
        <w:spacing w:after="0" w:line="178" w:lineRule="exact"/>
        <w:rPr>
          <w:sz w:val="20"/>
          <w:szCs w:val="20"/>
          <w:color w:val="auto"/>
        </w:rPr>
      </w:pPr>
    </w:p>
    <w:p>
      <w:pPr>
        <w:ind w:right="60" w:firstLine="595"/>
        <w:spacing w:after="0" w:line="281" w:lineRule="auto"/>
        <w:rPr>
          <w:sz w:val="20"/>
          <w:szCs w:val="20"/>
          <w:color w:val="auto"/>
        </w:rPr>
      </w:pPr>
      <w:r>
        <w:rPr>
          <w:rFonts w:ascii="Arial" w:cs="Arial" w:eastAsia="Arial" w:hAnsi="Arial"/>
          <w:sz w:val="15"/>
          <w:szCs w:val="15"/>
          <w:color w:val="auto"/>
        </w:rPr>
        <w:t xml:space="preserve">Section 13.05 </w:t>
      </w:r>
      <w:r>
        <w:rPr>
          <w:rFonts w:ascii="Arial" w:cs="Arial" w:eastAsia="Arial" w:hAnsi="Arial"/>
          <w:sz w:val="15"/>
          <w:szCs w:val="15"/>
          <w:i w:val="1"/>
          <w:iCs w:val="1"/>
          <w:color w:val="auto"/>
        </w:rPr>
        <w:t>Notice to Trustee.</w:t>
      </w:r>
      <w:r>
        <w:rPr>
          <w:rFonts w:ascii="Arial" w:cs="Arial" w:eastAsia="Arial" w:hAnsi="Arial"/>
          <w:sz w:val="15"/>
          <w:szCs w:val="15"/>
          <w:color w:val="auto"/>
        </w:rPr>
        <w:t xml:space="preserve"> The Issuer shall give prompt written notice to a Responsible Officer of the Trustee of any fact known to the Issuer which would prohibit the making of any payment of monies to or by the Trustee in respect of the Securities pursuant to the provisions of this Article 13. Notwithstanding the provisions of this Article 13 or any other provision of this Indenture, the Trustee shall not be charged with knowledge of the existence of any facts which would prohibit the making of any payment of monies to or by the Trustee in respect of the Securities pursuant to the provisions of this Article 13, unless and until a Responsible Officer of the Trustee shall have received written notice thereof at the Corporate Trust Office of the Trustee from the Issuer or a holder or holders of Senior Indebtedness of the Issuer or from any trustee therefor; and before the receipt of any such written notice, the Trustee, subject to the provisions of Section 6.01, shall be entitled in all respects to assume that no such facts exist;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on a date not fewer than three Business Days prior to the date upon which by the terms hereof any such monies may become payable for any purpose (including, without limitation, the payment of the principal of or interest on any Security) the Trustee shall not have received, with respect to such monies, the notice provided for in this Section 13.05, then, anything herein contained to the contrary notwithstanding, the Trustee shall have full power and authority to receive such monies and to apply the same to the purpose for which they were received, and shall not be affected by any notice to the contrary which may be received by it on or after such prior date.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5">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61" w:name="page162"/>
    <w:bookmarkEnd w:id="161"/>
    <w:p>
      <w:pPr>
        <w:ind w:right="20" w:firstLine="595"/>
        <w:spacing w:after="0" w:line="284" w:lineRule="auto"/>
        <w:rPr>
          <w:sz w:val="20"/>
          <w:szCs w:val="20"/>
          <w:color w:val="auto"/>
        </w:rPr>
      </w:pPr>
      <w:r>
        <w:rPr>
          <w:rFonts w:ascii="Arial" w:cs="Arial" w:eastAsia="Arial" w:hAnsi="Arial"/>
          <w:sz w:val="15"/>
          <w:szCs w:val="15"/>
          <w:color w:val="auto"/>
        </w:rPr>
        <w:t>The Trustee conclusively shall be entitled to rely on the delivery to it of a written notice by a Person representing himself to be a holder of Senior Indebtedness of the Issuer (or a trustee on behalf of such holder) to establish that such notice has been given by a holder of Senior Indebtedness of the Issuer or a trustee on behalf of any such holder or holders. In the event that the Trustee determines in good faith that further evidence is required with respect to the right of any Person as a holder of Senior Indebtedness of the Issuer to participate in any payment or distribution pursuant to this Article 13, the Trustee may request such Person to furnish evidence to the reasonable satisfaction of the Trustee as to the amount of Senior Indebtedness of the Issuer held by such Person, the extent to which such Person is entitled to participate in such payment or distribution and any other facts pertinent to the rights of such Person under this Article 13, and if such evidence is not furnished the Trustee may defer any payment to such Person pending judicial determination as to the right of such Person to receive such payment.</w:t>
      </w:r>
    </w:p>
    <w:p>
      <w:pPr>
        <w:spacing w:after="0" w:line="159" w:lineRule="exact"/>
        <w:rPr>
          <w:sz w:val="20"/>
          <w:szCs w:val="20"/>
          <w:color w:val="auto"/>
        </w:rPr>
      </w:pPr>
    </w:p>
    <w:p>
      <w:pPr>
        <w:ind w:right="100" w:firstLine="595"/>
        <w:spacing w:after="0" w:line="252" w:lineRule="auto"/>
        <w:rPr>
          <w:sz w:val="20"/>
          <w:szCs w:val="20"/>
          <w:color w:val="auto"/>
        </w:rPr>
      </w:pPr>
      <w:r>
        <w:rPr>
          <w:rFonts w:ascii="Arial" w:cs="Arial" w:eastAsia="Arial" w:hAnsi="Arial"/>
          <w:sz w:val="17"/>
          <w:szCs w:val="17"/>
          <w:color w:val="auto"/>
        </w:rPr>
        <w:t xml:space="preserve">Section 13.06 </w:t>
      </w:r>
      <w:r>
        <w:rPr>
          <w:rFonts w:ascii="Arial" w:cs="Arial" w:eastAsia="Arial" w:hAnsi="Arial"/>
          <w:sz w:val="17"/>
          <w:szCs w:val="17"/>
          <w:i w:val="1"/>
          <w:iCs w:val="1"/>
          <w:color w:val="auto"/>
        </w:rPr>
        <w:t>Trustee’s Relation to Senior Indebtedness.</w:t>
      </w:r>
      <w:r>
        <w:rPr>
          <w:rFonts w:ascii="Arial" w:cs="Arial" w:eastAsia="Arial" w:hAnsi="Arial"/>
          <w:sz w:val="17"/>
          <w:szCs w:val="17"/>
          <w:color w:val="auto"/>
        </w:rPr>
        <w:t xml:space="preserve"> The Trustee in its individual capacity shall be entitled to all the rights set forth in this Article 13 in respect of any Senior Indebtedness of the Issuer at any time held by it, to the same extent as any other holder of Senior Indebtedness of the Issuer and nothing elsewhere in this Indenture shall deprive the Trustee of any of its rights as such holder.</w:t>
      </w:r>
    </w:p>
    <w:p>
      <w:pPr>
        <w:spacing w:after="0" w:line="178" w:lineRule="exact"/>
        <w:rPr>
          <w:sz w:val="20"/>
          <w:szCs w:val="20"/>
          <w:color w:val="auto"/>
        </w:rPr>
      </w:pPr>
    </w:p>
    <w:p>
      <w:pPr>
        <w:ind w:firstLine="595"/>
        <w:spacing w:after="0" w:line="288" w:lineRule="auto"/>
        <w:rPr>
          <w:sz w:val="20"/>
          <w:szCs w:val="20"/>
          <w:color w:val="auto"/>
        </w:rPr>
      </w:pPr>
      <w:r>
        <w:rPr>
          <w:rFonts w:ascii="Arial" w:cs="Arial" w:eastAsia="Arial" w:hAnsi="Arial"/>
          <w:sz w:val="15"/>
          <w:szCs w:val="15"/>
          <w:color w:val="auto"/>
        </w:rPr>
        <w:t>With respect to the holders of Senior Indebtedness of the Issuer, the Trustee undertakes to perform or to observe only such of its covenants and obligations as are specifically set forth in this Article 13, and no implied covenants or obligations with respect to the holders of Senior Indebtedness of the Issuer shall be read into this Indenture against the Trustee. The Trustee shall not be deemed to owe any fiduciary duty to the holders of Senior Indebtedness of the Issuer and the Trustee shall not be liable to any holder of Senior Indebtedness of the Issuer if it shall pay over or deliver to holders of Securities, the Issuer or any other Person money or assets to which any holder of Senior Indebtedness of the Issuer shall be entitled by virtue of this Article 13 or otherwise.</w:t>
      </w:r>
    </w:p>
    <w:p>
      <w:pPr>
        <w:spacing w:after="0" w:line="156" w:lineRule="exact"/>
        <w:rPr>
          <w:sz w:val="20"/>
          <w:szCs w:val="20"/>
          <w:color w:val="auto"/>
        </w:rPr>
      </w:pPr>
    </w:p>
    <w:p>
      <w:pPr>
        <w:ind w:right="40" w:firstLine="595"/>
        <w:spacing w:after="0" w:line="249" w:lineRule="auto"/>
        <w:rPr>
          <w:sz w:val="20"/>
          <w:szCs w:val="20"/>
          <w:color w:val="auto"/>
        </w:rPr>
      </w:pPr>
      <w:r>
        <w:rPr>
          <w:rFonts w:ascii="Arial" w:cs="Arial" w:eastAsia="Arial" w:hAnsi="Arial"/>
          <w:sz w:val="17"/>
          <w:szCs w:val="17"/>
          <w:color w:val="auto"/>
        </w:rPr>
        <w:t xml:space="preserve">Section 13.07 </w:t>
      </w:r>
      <w:r>
        <w:rPr>
          <w:rFonts w:ascii="Arial" w:cs="Arial" w:eastAsia="Arial" w:hAnsi="Arial"/>
          <w:sz w:val="17"/>
          <w:szCs w:val="17"/>
          <w:i w:val="1"/>
          <w:iCs w:val="1"/>
          <w:color w:val="auto"/>
        </w:rPr>
        <w:t>No Impairment of Subordination.</w:t>
      </w:r>
      <w:r>
        <w:rPr>
          <w:rFonts w:ascii="Arial" w:cs="Arial" w:eastAsia="Arial" w:hAnsi="Arial"/>
          <w:sz w:val="17"/>
          <w:szCs w:val="17"/>
          <w:color w:val="auto"/>
        </w:rPr>
        <w:t xml:space="preserve"> No right of any present or future holder of any Senior Indebtedness of the Issuer to enforce subordination as herein provided shall at any time in any way be prejudiced or impaired by any act or failure to act on the part of the Issuer or by any act or failure to act, in good faith, by any such holder, or by any noncompliance by the Issuer with the terms, provisions and covenants of this Indenture, regardless of any knowledge thereof which any such holder may have or otherwise be charged with.</w:t>
      </w:r>
    </w:p>
    <w:p>
      <w:pPr>
        <w:spacing w:after="0" w:line="181" w:lineRule="exact"/>
        <w:rPr>
          <w:sz w:val="20"/>
          <w:szCs w:val="20"/>
          <w:color w:val="auto"/>
        </w:rPr>
      </w:pPr>
    </w:p>
    <w:p>
      <w:pPr>
        <w:ind w:left="600"/>
        <w:spacing w:after="0"/>
        <w:tabs>
          <w:tab w:leader="none" w:pos="1640" w:val="left"/>
        </w:tabs>
        <w:rPr>
          <w:sz w:val="20"/>
          <w:szCs w:val="20"/>
          <w:color w:val="auto"/>
        </w:rPr>
      </w:pPr>
      <w:r>
        <w:rPr>
          <w:rFonts w:ascii="Arial" w:cs="Arial" w:eastAsia="Arial" w:hAnsi="Arial"/>
          <w:sz w:val="17"/>
          <w:szCs w:val="17"/>
          <w:color w:val="auto"/>
        </w:rPr>
        <w:t>Section 13.08</w:t>
      </w:r>
      <w:r>
        <w:rPr>
          <w:sz w:val="20"/>
          <w:szCs w:val="20"/>
          <w:color w:val="auto"/>
        </w:rPr>
        <w:tab/>
      </w:r>
      <w:r>
        <w:rPr>
          <w:rFonts w:ascii="Arial" w:cs="Arial" w:eastAsia="Arial" w:hAnsi="Arial"/>
          <w:sz w:val="15"/>
          <w:szCs w:val="15"/>
          <w:i w:val="1"/>
          <w:iCs w:val="1"/>
          <w:color w:val="auto"/>
        </w:rPr>
        <w:t xml:space="preserve">Rights of Trustee. </w:t>
      </w:r>
      <w:r>
        <w:rPr>
          <w:rFonts w:ascii="Arial" w:cs="Arial" w:eastAsia="Arial" w:hAnsi="Arial"/>
          <w:sz w:val="15"/>
          <w:szCs w:val="15"/>
          <w:color w:val="auto"/>
        </w:rPr>
        <w:t>Nothing in this Article 13 shall apply to claims of or payments to, the Trustee pursuant to Section 6.06.</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[Signature pages follow]</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6">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62" w:name="page163"/>
    <w:bookmarkEnd w:id="162"/>
    <w:p>
      <w:pPr>
        <w:spacing w:after="0"/>
        <w:rPr>
          <w:sz w:val="20"/>
          <w:szCs w:val="20"/>
          <w:color w:val="auto"/>
        </w:rPr>
      </w:pPr>
      <w:r>
        <w:rPr>
          <w:rFonts w:ascii="Arial" w:cs="Arial" w:eastAsia="Arial" w:hAnsi="Arial"/>
          <w:sz w:val="14"/>
          <w:szCs w:val="14"/>
          <w:color w:val="auto"/>
        </w:rPr>
        <w:t>IN WITNESS WHEREOF, the parties hereto have caused this Indenture to be duly executed as of _____________.</w:t>
      </w:r>
    </w:p>
    <w:p>
      <w:pPr>
        <w:spacing w:after="0" w:line="236"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IVERIC BIO, INC.</w:t>
      </w:r>
    </w:p>
    <w:p>
      <w:pPr>
        <w:spacing w:after="0" w:line="20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14"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-122555</wp:posOffset>
            </wp:positionV>
            <wp:extent cx="321310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7">
                      <a:extLst>
                        <a:ext uri="{28A0092B-C50C-407E-A947-70E740481C1C}"/>
                      </a:extLst>
                    </a:blip>
                    <a:srcRect/>
                    <a:stretch>
                      <a:fillRect/>
                    </a:stretch>
                  </pic:blipFill>
                  <pic:spPr bwMode="auto">
                    <a:xfrm>
                      <a:off x="0" y="0"/>
                      <a:ext cx="3213100" cy="762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7"/>
          <w:szCs w:val="17"/>
          <w:color w:val="auto"/>
        </w:rPr>
        <w:t>Title:</w:t>
      </w:r>
    </w:p>
    <w:p>
      <w:pPr>
        <w:spacing w:after="0" w:line="19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Attest:</w:t>
      </w:r>
    </w:p>
    <w:p>
      <w:pPr>
        <w:spacing w:after="0" w:line="20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14"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-122555</wp:posOffset>
            </wp:positionV>
            <wp:extent cx="321310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8">
                      <a:extLst>
                        <a:ext uri="{28A0092B-C50C-407E-A947-70E740481C1C}"/>
                      </a:extLst>
                    </a:blip>
                    <a:srcRect/>
                    <a:stretch>
                      <a:fillRect/>
                    </a:stretch>
                  </pic:blipFill>
                  <pic:spPr bwMode="auto">
                    <a:xfrm>
                      <a:off x="0" y="0"/>
                      <a:ext cx="3213100" cy="762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7"/>
          <w:szCs w:val="17"/>
          <w:color w:val="auto"/>
        </w:rPr>
        <w:t>Title:</w:t>
      </w:r>
    </w:p>
    <w:p>
      <w:pPr>
        <w:spacing w:after="0" w:line="389"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9">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0139"/>
          </w:cols>
          <w:pgMar w:left="320" w:top="846" w:right="1440" w:bottom="1440" w:gutter="0" w:footer="0" w:header="0"/>
        </w:sectPr>
      </w:pPr>
    </w:p>
    <w:bookmarkStart w:id="163" w:name="page164"/>
    <w:bookmarkEnd w:id="163"/>
    <w:p>
      <w:pPr>
        <w:jc w:val="right"/>
        <w:spacing w:after="0"/>
        <w:rPr>
          <w:sz w:val="20"/>
          <w:szCs w:val="20"/>
          <w:color w:val="auto"/>
        </w:rPr>
      </w:pPr>
      <w:r>
        <w:rPr>
          <w:rFonts w:ascii="Arial" w:cs="Arial" w:eastAsia="Arial" w:hAnsi="Arial"/>
          <w:sz w:val="17"/>
          <w:szCs w:val="17"/>
          <w:b w:val="1"/>
          <w:bCs w:val="1"/>
          <w:color w:val="auto"/>
        </w:rPr>
        <w:t>Exhibit 4.5</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Form of Senior Note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(FACE OF SECURITY)</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Each Global Security shall bear substantially the following legend:</w:t>
      </w:r>
    </w:p>
    <w:p>
      <w:pPr>
        <w:spacing w:after="0" w:line="201"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(“DTC”),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If the Security has original issue discount for U.S. federal income tax purposes, insert tax legend:</w:t>
      </w:r>
    </w:p>
    <w:p>
      <w:pPr>
        <w:spacing w:after="0" w:line="201" w:lineRule="exact"/>
        <w:rPr>
          <w:sz w:val="20"/>
          <w:szCs w:val="20"/>
          <w:color w:val="auto"/>
        </w:rPr>
      </w:pPr>
    </w:p>
    <w:p>
      <w:pPr>
        <w:ind w:right="200"/>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FOR PURPOSES OF SECTIONS 1272, 1273 AND 1275 OF THE INTERNAL REVENUE CODE OF 1986, AS AMENDED, AND THE RULES AND REGULATIONS</w:t>
      </w:r>
      <w:r>
        <w:rPr>
          <w:rFonts w:ascii="Arial" w:cs="Arial" w:eastAsia="Arial" w:hAnsi="Arial"/>
          <w:sz w:val="15"/>
          <w:szCs w:val="15"/>
          <w:color w:val="auto"/>
        </w:rPr>
        <w:t xml:space="preserve"> </w:t>
      </w:r>
      <w:r>
        <w:rPr>
          <w:rFonts w:ascii="Arial" w:cs="Arial" w:eastAsia="Arial" w:hAnsi="Arial"/>
          <w:sz w:val="15"/>
          <w:szCs w:val="15"/>
          <w:i w:val="1"/>
          <w:iCs w:val="1"/>
          <w:color w:val="auto"/>
        </w:rPr>
        <w:t>THEREUNDER, THIS NOTE IS BEING ISSUED WITH ORIGINAL ISSUE DISCOUNT; PLEASE CONTACT DAVID F. CARROLL, CHIEF FINANCIAL OFFICER, IVERIC BIO, INC., FIVE PENN PLAZA, SUITE 2372, NEW YORK, NEW YORK 10001, TELEPHONE: (212) 845-8200, TO OBTAIN INFORMATION REGARDING THE ISSUE PRICE, THE ISSUE DATE, THE AMOUNT OF ORIGINAL ISSUE DISCOUNT AND THE YIELD TO MATURITY.</w:t>
      </w:r>
      <w:r>
        <w:rPr>
          <w:rFonts w:ascii="Arial" w:cs="Arial" w:eastAsia="Arial" w:hAnsi="Arial"/>
          <w:sz w:val="15"/>
          <w:szCs w:val="15"/>
          <w:color w:val="auto"/>
        </w:rPr>
        <w:t>]</w:t>
      </w:r>
    </w:p>
    <w:p>
      <w:pPr>
        <w:spacing w:after="0" w:line="34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0">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64" w:name="page165"/>
    <w:bookmarkEnd w:id="164"/>
    <w:p>
      <w:pPr>
        <w:ind w:left="4980"/>
        <w:spacing w:after="0"/>
        <w:rPr>
          <w:sz w:val="20"/>
          <w:szCs w:val="20"/>
          <w:color w:val="auto"/>
        </w:rPr>
      </w:pPr>
      <w:r>
        <w:rPr>
          <w:rFonts w:ascii="Arial" w:cs="Arial" w:eastAsia="Arial" w:hAnsi="Arial"/>
          <w:sz w:val="15"/>
          <w:szCs w:val="15"/>
          <w:color w:val="auto"/>
        </w:rPr>
        <w:t>IVERIC BIO, INC.</w:t>
      </w:r>
    </w:p>
    <w:p>
      <w:pPr>
        <w:spacing w:after="0" w:line="37" w:lineRule="exact"/>
        <w:rPr>
          <w:sz w:val="20"/>
          <w:szCs w:val="20"/>
          <w:color w:val="auto"/>
        </w:rPr>
      </w:pPr>
    </w:p>
    <w:p>
      <w:pPr>
        <w:ind w:left="4980"/>
        <w:spacing w:after="0"/>
        <w:rPr>
          <w:sz w:val="20"/>
          <w:szCs w:val="20"/>
          <w:color w:val="auto"/>
        </w:rPr>
      </w:pPr>
      <w:r>
        <w:rPr>
          <w:rFonts w:ascii="Arial" w:cs="Arial" w:eastAsia="Arial" w:hAnsi="Arial"/>
          <w:sz w:val="15"/>
          <w:szCs w:val="15"/>
          <w:color w:val="auto"/>
        </w:rPr>
        <w:t>[ Title of Security ]</w:t>
      </w:r>
    </w:p>
    <w:p>
      <w:pPr>
        <w:sectPr>
          <w:pgSz w:w="11900" w:h="16838" w:orient="portrait"/>
          <w:cols w:equalWidth="0" w:num="1">
            <w:col w:w="11240"/>
          </w:cols>
          <w:pgMar w:left="320" w:top="847" w:right="33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No. [</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15"/>
          <w:szCs w:val="15"/>
          <w:color w:val="auto"/>
        </w:rPr>
        <w:t>CUSIP No.:</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[Common Code][ISIN]:</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80"/>
        <w:spacing w:after="0"/>
        <w:rPr>
          <w:sz w:val="20"/>
          <w:szCs w:val="20"/>
          <w:color w:val="auto"/>
        </w:rPr>
      </w:pPr>
      <w:r>
        <w:rPr>
          <w:rFonts w:ascii="Arial" w:cs="Arial" w:eastAsia="Arial" w:hAnsi="Arial"/>
          <w:sz w:val="17"/>
          <w:szCs w:val="17"/>
          <w:color w:val="auto"/>
        </w:rPr>
        <w:t>[  ]</w:t>
      </w:r>
    </w:p>
    <w:p>
      <w:pPr>
        <w:spacing w:after="0" w:line="14" w:lineRule="exact"/>
        <w:rPr>
          <w:sz w:val="20"/>
          <w:szCs w:val="20"/>
          <w:color w:val="auto"/>
        </w:rPr>
      </w:pPr>
    </w:p>
    <w:p>
      <w:pPr>
        <w:ind w:left="40"/>
        <w:spacing w:after="0"/>
        <w:tabs>
          <w:tab w:leader="none" w:pos="240" w:val="left"/>
        </w:tabs>
        <w:rPr>
          <w:sz w:val="20"/>
          <w:szCs w:val="20"/>
          <w:color w:val="auto"/>
        </w:rPr>
      </w:pPr>
      <w:r>
        <w:rPr>
          <w:rFonts w:ascii="Arial" w:cs="Arial" w:eastAsia="Arial" w:hAnsi="Arial"/>
          <w:sz w:val="17"/>
          <w:szCs w:val="17"/>
          <w:color w:val="auto"/>
        </w:rPr>
        <w:t>[</w:t>
        <w:tab/>
        <w: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  ]</w:t>
      </w:r>
    </w:p>
    <w:p>
      <w:pPr>
        <w:spacing w:after="0" w:line="191" w:lineRule="exact"/>
        <w:rPr>
          <w:sz w:val="20"/>
          <w:szCs w:val="20"/>
          <w:color w:val="auto"/>
        </w:rPr>
      </w:pPr>
    </w:p>
    <w:p>
      <w:pPr>
        <w:sectPr>
          <w:pgSz w:w="11900" w:h="16838" w:orient="portrait"/>
          <w:cols w:equalWidth="0" w:num="4">
            <w:col w:w="340" w:space="120"/>
            <w:col w:w="8060" w:space="720"/>
            <w:col w:w="1680" w:space="0"/>
            <w:col w:w="320"/>
          </w:cols>
          <w:pgMar w:left="320" w:top="847" w:right="339" w:bottom="1440" w:gutter="0" w:footer="0" w:header="0"/>
          <w:type w:val="continuous"/>
        </w:sectPr>
      </w:pPr>
    </w:p>
    <w:p>
      <w:pPr>
        <w:ind w:right="40" w:firstLine="595"/>
        <w:spacing w:after="0" w:line="283" w:lineRule="auto"/>
        <w:rPr>
          <w:sz w:val="20"/>
          <w:szCs w:val="20"/>
          <w:color w:val="auto"/>
        </w:rPr>
      </w:pPr>
      <w:r>
        <w:rPr>
          <w:rFonts w:ascii="Arial" w:cs="Arial" w:eastAsia="Arial" w:hAnsi="Arial"/>
          <w:sz w:val="15"/>
          <w:szCs w:val="15"/>
          <w:color w:val="auto"/>
        </w:rPr>
        <w:t>IVERIC bio, Inc., a Delaware corporation (the “Issuer”, which term includes any successor corporation), for value received promises to pay to [</w:t>
      </w:r>
      <w:r>
        <w:rPr>
          <w:rFonts w:ascii="Arial" w:cs="Arial" w:eastAsia="Arial" w:hAnsi="Arial"/>
          <w:sz w:val="15"/>
          <w:szCs w:val="15"/>
          <w:i w:val="1"/>
          <w:iCs w:val="1"/>
          <w:color w:val="auto"/>
        </w:rPr>
        <w:t>If the Security is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 Global Security -- </w:t>
      </w:r>
      <w:r>
        <w:rPr>
          <w:rFonts w:ascii="Arial" w:cs="Arial" w:eastAsia="Arial" w:hAnsi="Arial"/>
          <w:sz w:val="15"/>
          <w:szCs w:val="15"/>
          <w:color w:val="auto"/>
        </w:rPr>
        <w:t>CEDE &amp; CO.][</w:t>
      </w:r>
      <w:r>
        <w:rPr>
          <w:rFonts w:ascii="Arial" w:cs="Arial" w:eastAsia="Arial" w:hAnsi="Arial"/>
          <w:sz w:val="15"/>
          <w:szCs w:val="15"/>
          <w:i w:val="1"/>
          <w:iCs w:val="1"/>
          <w:color w:val="auto"/>
        </w:rPr>
        <w:t>If the Security is not a Global Security -- __________</w:t>
      </w:r>
      <w:r>
        <w:rPr>
          <w:rFonts w:ascii="Arial" w:cs="Arial" w:eastAsia="Arial" w:hAnsi="Arial"/>
          <w:sz w:val="15"/>
          <w:szCs w:val="15"/>
          <w:color w:val="auto"/>
        </w:rPr>
        <w:t>] or registered assigns, the principal sum of __________ on __________,____</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(the “Maturity Date”) [</w:t>
      </w:r>
      <w:r>
        <w:rPr>
          <w:rFonts w:ascii="Arial" w:cs="Arial" w:eastAsia="Arial" w:hAnsi="Arial"/>
          <w:sz w:val="15"/>
          <w:szCs w:val="15"/>
          <w:i w:val="1"/>
          <w:iCs w:val="1"/>
          <w:color w:val="auto"/>
        </w:rPr>
        <w:t>If the Security is to bear interest prior to maturity, insert--</w:t>
      </w:r>
      <w:r>
        <w:rPr>
          <w:rFonts w:ascii="Arial" w:cs="Arial" w:eastAsia="Arial" w:hAnsi="Arial"/>
          <w:sz w:val="15"/>
          <w:szCs w:val="15"/>
          <w:color w:val="auto"/>
        </w:rPr>
        <w:t>, and to pay interest thereon from _____________ or from the most recent interest</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payment date to which interest has been paid or duly provided for, </w:t>
      </w:r>
      <w:r>
        <w:rPr>
          <w:rFonts w:ascii="Arial" w:cs="Arial" w:eastAsia="Arial" w:hAnsi="Arial"/>
          <w:sz w:val="15"/>
          <w:szCs w:val="15"/>
          <w:i w:val="1"/>
          <w:iCs w:val="1"/>
          <w:color w:val="auto"/>
        </w:rPr>
        <w:t>[semiannually in arrears on ______ and ______ in each year</w:t>
      </w:r>
      <w:r>
        <w:rPr>
          <w:rFonts w:ascii="Arial" w:cs="Arial" w:eastAsia="Arial" w:hAnsi="Arial"/>
          <w:sz w:val="15"/>
          <w:szCs w:val="15"/>
          <w:color w:val="auto"/>
        </w:rPr>
        <w:t>], commencing _________, ____ (each,</w:t>
      </w:r>
    </w:p>
    <w:p>
      <w:pPr>
        <w:spacing w:after="0" w:line="26" w:lineRule="exact"/>
        <w:rPr>
          <w:sz w:val="20"/>
          <w:szCs w:val="20"/>
          <w:color w:val="auto"/>
        </w:rPr>
      </w:pPr>
    </w:p>
    <w:p>
      <w:pPr>
        <w:ind w:right="60"/>
        <w:spacing w:after="0" w:line="295" w:lineRule="auto"/>
        <w:rPr>
          <w:sz w:val="20"/>
          <w:szCs w:val="20"/>
          <w:color w:val="auto"/>
        </w:rPr>
      </w:pPr>
      <w:r>
        <w:rPr>
          <w:rFonts w:ascii="Arial" w:cs="Arial" w:eastAsia="Arial" w:hAnsi="Arial"/>
          <w:sz w:val="14"/>
          <w:szCs w:val="14"/>
          <w:color w:val="auto"/>
        </w:rPr>
        <w:t>an “Interest Payment Date”) at the rate of [</w:t>
      </w:r>
      <w:r>
        <w:rPr>
          <w:rFonts w:ascii="Arial" w:cs="Arial" w:eastAsia="Arial" w:hAnsi="Arial"/>
          <w:sz w:val="14"/>
          <w:szCs w:val="14"/>
          <w:i w:val="1"/>
          <w:iCs w:val="1"/>
          <w:color w:val="auto"/>
        </w:rPr>
        <w:t>___% per annum</w:t>
      </w:r>
      <w:r>
        <w:rPr>
          <w:rFonts w:ascii="Arial" w:cs="Arial" w:eastAsia="Arial" w:hAnsi="Arial"/>
          <w:sz w:val="14"/>
          <w:szCs w:val="14"/>
          <w:color w:val="auto"/>
        </w:rPr>
        <w:t>], until the principal hereof is paid or made available for payment [</w:t>
      </w:r>
      <w:r>
        <w:rPr>
          <w:rFonts w:ascii="Arial" w:cs="Arial" w:eastAsia="Arial" w:hAnsi="Arial"/>
          <w:sz w:val="14"/>
          <w:szCs w:val="14"/>
          <w:i w:val="1"/>
          <w:iCs w:val="1"/>
          <w:color w:val="auto"/>
        </w:rPr>
        <w:t>If applicable insert--,</w:t>
      </w:r>
      <w:r>
        <w:rPr>
          <w:rFonts w:ascii="Arial" w:cs="Arial" w:eastAsia="Arial" w:hAnsi="Arial"/>
          <w:sz w:val="14"/>
          <w:szCs w:val="14"/>
          <w:color w:val="auto"/>
        </w:rPr>
        <w:t xml:space="preserve"> and (to the extent that the payment of such interest shall be legally enforceable) at the rate of ___% per annum on any overdue principal and on any overdue installment of interest]. The interest so payable, and punctually paid or duly provided for, on any Interest Payment Date will, as provided in the Indenture (as defined below), be paid to the Holder in whose name this Security (or one or more predecessor Securities) is registered at the close of business on the record date for such interest, which shall be the _______ or</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________ (whether or not a Business Day), as the case may be, next preceding such Interest Payment Date (each, an “Interest Record Date”). Interest will be computed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on the basis of [</w:t>
      </w:r>
      <w:r>
        <w:rPr>
          <w:rFonts w:ascii="Arial" w:cs="Arial" w:eastAsia="Arial" w:hAnsi="Arial"/>
          <w:sz w:val="17"/>
          <w:szCs w:val="17"/>
          <w:i w:val="1"/>
          <w:iCs w:val="1"/>
          <w:color w:val="auto"/>
        </w:rPr>
        <w:t>a 360-day year of twelve 30-day months</w:t>
      </w:r>
      <w:r>
        <w:rPr>
          <w:rFonts w:ascii="Arial" w:cs="Arial" w:eastAsia="Arial" w:hAnsi="Arial"/>
          <w:sz w:val="17"/>
          <w:szCs w:val="17"/>
          <w:color w:val="auto"/>
        </w:rPr>
        <w:t>].]</w:t>
      </w:r>
    </w:p>
    <w:p>
      <w:pPr>
        <w:spacing w:after="0" w:line="191" w:lineRule="exact"/>
        <w:rPr>
          <w:sz w:val="20"/>
          <w:szCs w:val="20"/>
          <w:color w:val="auto"/>
        </w:rPr>
      </w:pPr>
    </w:p>
    <w:p>
      <w:pPr>
        <w:ind w:firstLine="595"/>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If the Security is not to bear interest prior to maturity, insert--</w:t>
      </w:r>
      <w:r>
        <w:rPr>
          <w:rFonts w:ascii="Arial" w:cs="Arial" w:eastAsia="Arial" w:hAnsi="Arial"/>
          <w:sz w:val="15"/>
          <w:szCs w:val="15"/>
          <w:color w:val="auto"/>
        </w:rPr>
        <w:t>The principal of this Security shall not bear interest except in the case of a default in payment of principal upon acceleration, upon redemption or at maturity and, in each such case, the overdue principal of this Security shall bear interest at the rate of ___% per annum (to the extent that the payment of such interest shall be legally enforceable), which shall accrue from the date of such default in payment to the date payment of such principal has been made or duly provided for. Interest on any overdue principal shall be payable on demand.]</w:t>
      </w:r>
    </w:p>
    <w:p>
      <w:pPr>
        <w:spacing w:after="0" w:line="150" w:lineRule="exact"/>
        <w:rPr>
          <w:sz w:val="20"/>
          <w:szCs w:val="20"/>
          <w:color w:val="auto"/>
        </w:rPr>
      </w:pPr>
    </w:p>
    <w:p>
      <w:pPr>
        <w:ind w:right="260" w:firstLine="595"/>
        <w:spacing w:after="0" w:line="260" w:lineRule="auto"/>
        <w:rPr>
          <w:sz w:val="20"/>
          <w:szCs w:val="20"/>
          <w:color w:val="auto"/>
        </w:rPr>
      </w:pPr>
      <w:r>
        <w:rPr>
          <w:rFonts w:ascii="Arial" w:cs="Arial" w:eastAsia="Arial" w:hAnsi="Arial"/>
          <w:sz w:val="17"/>
          <w:szCs w:val="17"/>
          <w:color w:val="auto"/>
        </w:rPr>
        <w:t>Reference is made to the further provisions set forth on the reverse of this Security contained herein, which will for all purposes have the same effect as if set forth at this place.</w:t>
      </w:r>
    </w:p>
    <w:p>
      <w:pPr>
        <w:spacing w:after="0" w:line="37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1">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type w:val="continuous"/>
        </w:sectPr>
      </w:pPr>
    </w:p>
    <w:bookmarkStart w:id="165" w:name="page166"/>
    <w:bookmarkEnd w:id="165"/>
    <w:p>
      <w:pPr>
        <w:ind w:left="600"/>
        <w:spacing w:after="0"/>
        <w:rPr>
          <w:sz w:val="20"/>
          <w:szCs w:val="20"/>
          <w:color w:val="auto"/>
        </w:rPr>
      </w:pPr>
      <w:r>
        <w:rPr>
          <w:rFonts w:ascii="Arial" w:cs="Arial" w:eastAsia="Arial" w:hAnsi="Arial"/>
          <w:sz w:val="15"/>
          <w:szCs w:val="15"/>
          <w:color w:val="auto"/>
        </w:rPr>
        <w:t>IN WITNESS WHEREOF, the Issuer has caused this Security to be signed manually or by facsimile by its duly authorized officer under its corporate seal.</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IVERIC BIO, INC.</w:t>
      </w:r>
    </w:p>
    <w:p>
      <w:pPr>
        <w:spacing w:after="0" w:line="20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3858895</wp:posOffset>
            </wp:positionH>
            <wp:positionV relativeFrom="paragraph">
              <wp:posOffset>-123190</wp:posOffset>
            </wp:positionV>
            <wp:extent cx="328422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2">
                      <a:extLst>
                        <a:ext uri="{28A0092B-C50C-407E-A947-70E740481C1C}"/>
                      </a:extLst>
                    </a:blip>
                    <a:srcRect/>
                    <a:stretch>
                      <a:fillRect/>
                    </a:stretch>
                  </pic:blipFill>
                  <pic:spPr bwMode="auto">
                    <a:xfrm>
                      <a:off x="0" y="0"/>
                      <a:ext cx="3284220" cy="7620"/>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4204970</wp:posOffset>
            </wp:positionH>
            <wp:positionV relativeFrom="paragraph">
              <wp:posOffset>-123190</wp:posOffset>
            </wp:positionV>
            <wp:extent cx="293751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3">
                      <a:extLst>
                        <a:ext uri="{28A0092B-C50C-407E-A947-70E740481C1C}"/>
                      </a:extLst>
                    </a:blip>
                    <a:srcRect/>
                    <a:stretch>
                      <a:fillRect/>
                    </a:stretch>
                  </pic:blipFill>
                  <pic:spPr bwMode="auto">
                    <a:xfrm>
                      <a:off x="0" y="0"/>
                      <a:ext cx="2937510" cy="762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9525</wp:posOffset>
            </wp:positionV>
            <wp:extent cx="3008630"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4">
                      <a:extLst>
                        <a:ext uri="{28A0092B-C50C-407E-A947-70E740481C1C}"/>
                      </a:extLst>
                    </a:blip>
                    <a:srcRect/>
                    <a:stretch>
                      <a:fillRect/>
                    </a:stretch>
                  </pic:blipFill>
                  <pic:spPr bwMode="auto">
                    <a:xfrm>
                      <a:off x="0" y="0"/>
                      <a:ext cx="3008630" cy="7620"/>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Attest:</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-123190</wp:posOffset>
            </wp:positionV>
            <wp:extent cx="328422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5">
                      <a:extLst>
                        <a:ext uri="{28A0092B-C50C-407E-A947-70E740481C1C}"/>
                      </a:extLst>
                    </a:blip>
                    <a:srcRect/>
                    <a:stretch>
                      <a:fillRect/>
                    </a:stretch>
                  </pic:blipFill>
                  <pic:spPr bwMode="auto">
                    <a:xfrm>
                      <a:off x="0" y="0"/>
                      <a:ext cx="3284220" cy="76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-123190</wp:posOffset>
            </wp:positionV>
            <wp:extent cx="321310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6">
                      <a:extLst>
                        <a:ext uri="{28A0092B-C50C-407E-A947-70E740481C1C}"/>
                      </a:extLst>
                    </a:blip>
                    <a:srcRect/>
                    <a:stretch>
                      <a:fillRect/>
                    </a:stretch>
                  </pic:blipFill>
                  <pic:spPr bwMode="auto">
                    <a:xfrm>
                      <a:off x="0" y="0"/>
                      <a:ext cx="3213100" cy="7620"/>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9525</wp:posOffset>
            </wp:positionV>
            <wp:extent cx="328422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7">
                      <a:extLst>
                        <a:ext uri="{28A0092B-C50C-407E-A947-70E740481C1C}"/>
                      </a:extLst>
                    </a:blip>
                    <a:srcRect/>
                    <a:stretch>
                      <a:fillRect/>
                    </a:stretch>
                  </pic:blipFill>
                  <pic:spPr bwMode="auto">
                    <a:xfrm>
                      <a:off x="0" y="0"/>
                      <a:ext cx="3284220" cy="7620"/>
                    </a:xfrm>
                    <a:prstGeom prst="rect">
                      <a:avLst/>
                    </a:prstGeom>
                    <a:noFill/>
                  </pic:spPr>
                </pic:pic>
              </a:graphicData>
            </a:graphic>
          </wp:anchor>
        </w:drawing>
      </w:r>
    </w:p>
    <w:p>
      <w:pPr>
        <w:spacing w:after="0" w:line="19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This is one of the Securities of the series designated herein and referred to in the within-mentioned Indenture.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Dated: [  ]</w:t>
      </w:r>
    </w:p>
    <w:p>
      <w:pPr>
        <w:spacing w:after="0" w:line="20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____________, as Trustee</w:t>
      </w:r>
    </w:p>
    <w:p>
      <w:pPr>
        <w:spacing w:after="0" w:line="20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3858895</wp:posOffset>
            </wp:positionH>
            <wp:positionV relativeFrom="paragraph">
              <wp:posOffset>-123190</wp:posOffset>
            </wp:positionV>
            <wp:extent cx="328422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8">
                      <a:extLst>
                        <a:ext uri="{28A0092B-C50C-407E-A947-70E740481C1C}"/>
                      </a:extLst>
                    </a:blip>
                    <a:srcRect/>
                    <a:stretch>
                      <a:fillRect/>
                    </a:stretch>
                  </pic:blipFill>
                  <pic:spPr bwMode="auto">
                    <a:xfrm>
                      <a:off x="0" y="0"/>
                      <a:ext cx="3284220" cy="7620"/>
                    </a:xfrm>
                    <a:prstGeom prst="rect">
                      <a:avLst/>
                    </a:prstGeom>
                    <a:noFill/>
                  </pic:spPr>
                </pic:pic>
              </a:graphicData>
            </a:graphic>
          </wp:anchor>
        </w:drawing>
        <w:drawing>
          <wp:anchor simplePos="0" relativeHeight="251657728" behindDoc="1" locked="0" layoutInCell="0" allowOverlap="1">
            <wp:simplePos x="0" y="0"/>
            <wp:positionH relativeFrom="column">
              <wp:posOffset>4220845</wp:posOffset>
            </wp:positionH>
            <wp:positionV relativeFrom="paragraph">
              <wp:posOffset>9525</wp:posOffset>
            </wp:positionV>
            <wp:extent cx="292227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9">
                      <a:extLst>
                        <a:ext uri="{28A0092B-C50C-407E-A947-70E740481C1C}"/>
                      </a:extLst>
                    </a:blip>
                    <a:srcRect/>
                    <a:stretch>
                      <a:fillRect/>
                    </a:stretch>
                  </pic:blipFill>
                  <pic:spPr bwMode="auto">
                    <a:xfrm>
                      <a:off x="0" y="0"/>
                      <a:ext cx="2922270" cy="7620"/>
                    </a:xfrm>
                    <a:prstGeom prst="rect">
                      <a:avLst/>
                    </a:prstGeom>
                    <a:noFill/>
                  </pic:spPr>
                </pic:pic>
              </a:graphicData>
            </a:graphic>
          </wp:anchor>
        </w:drawing>
      </w:r>
    </w:p>
    <w:p>
      <w:pPr>
        <w:spacing w:after="0" w:line="392"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0">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0800"/>
          </w:cols>
          <w:pgMar w:left="320" w:top="847" w:right="779" w:bottom="1440" w:gutter="0" w:footer="0" w:header="0"/>
        </w:sectPr>
      </w:pPr>
    </w:p>
    <w:bookmarkStart w:id="166" w:name="page167"/>
    <w:bookmarkEnd w:id="166"/>
    <w:p>
      <w:pPr>
        <w:jc w:val="center"/>
        <w:ind w:right="-60"/>
        <w:spacing w:after="0"/>
        <w:rPr>
          <w:sz w:val="20"/>
          <w:szCs w:val="20"/>
          <w:color w:val="auto"/>
        </w:rPr>
      </w:pPr>
      <w:r>
        <w:rPr>
          <w:rFonts w:ascii="Arial" w:cs="Arial" w:eastAsia="Arial" w:hAnsi="Arial"/>
          <w:sz w:val="17"/>
          <w:szCs w:val="17"/>
          <w:b w:val="1"/>
          <w:bCs w:val="1"/>
          <w:color w:val="auto"/>
        </w:rPr>
        <w:t>(REVERSE OF SECURITY)</w:t>
      </w:r>
    </w:p>
    <w:p>
      <w:pPr>
        <w:spacing w:after="0" w:line="201"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IVERIC BIO, INC.</w:t>
      </w:r>
    </w:p>
    <w:p>
      <w:pPr>
        <w:spacing w:after="0" w:line="201"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 Title of Security ]</w:t>
      </w:r>
    </w:p>
    <w:p>
      <w:pPr>
        <w:spacing w:after="0" w:line="205" w:lineRule="exact"/>
        <w:rPr>
          <w:sz w:val="20"/>
          <w:szCs w:val="20"/>
          <w:color w:val="auto"/>
        </w:rPr>
      </w:pPr>
    </w:p>
    <w:p>
      <w:pPr>
        <w:ind w:left="601" w:hanging="601"/>
        <w:spacing w:after="0"/>
        <w:tabs>
          <w:tab w:leader="none" w:pos="601" w:val="left"/>
        </w:tabs>
        <w:numPr>
          <w:ilvl w:val="0"/>
          <w:numId w:val="99"/>
        </w:numPr>
        <w:rPr>
          <w:rFonts w:ascii="Arial" w:cs="Arial" w:eastAsia="Arial" w:hAnsi="Arial"/>
          <w:sz w:val="17"/>
          <w:szCs w:val="17"/>
          <w:color w:val="auto"/>
        </w:rPr>
      </w:pPr>
      <w:r>
        <w:rPr>
          <w:rFonts w:ascii="Arial" w:cs="Arial" w:eastAsia="Arial" w:hAnsi="Arial"/>
          <w:sz w:val="17"/>
          <w:szCs w:val="17"/>
          <w:color w:val="auto"/>
        </w:rPr>
        <w:t>Indenture</w:t>
      </w:r>
    </w:p>
    <w:p>
      <w:pPr>
        <w:spacing w:after="0" w:line="201" w:lineRule="exact"/>
        <w:rPr>
          <w:sz w:val="20"/>
          <w:szCs w:val="20"/>
          <w:color w:val="auto"/>
        </w:rPr>
      </w:pPr>
    </w:p>
    <w:p>
      <w:pPr>
        <w:ind w:left="1" w:right="220" w:firstLine="595"/>
        <w:spacing w:after="0" w:line="303" w:lineRule="auto"/>
        <w:rPr>
          <w:sz w:val="20"/>
          <w:szCs w:val="20"/>
          <w:color w:val="auto"/>
        </w:rPr>
      </w:pPr>
      <w:r>
        <w:rPr>
          <w:rFonts w:ascii="Arial" w:cs="Arial" w:eastAsia="Arial" w:hAnsi="Arial"/>
          <w:sz w:val="14"/>
          <w:szCs w:val="14"/>
          <w:color w:val="auto"/>
        </w:rPr>
        <w:t>This Security is one of a duly authorized issue of debentures, notes or other evidence of indebtedness (hereinafter called the “Securities”) of the Issuer of the series hereinafter specified, which series is initially limited in aggregate principal amount to [</w:t>
      </w:r>
      <w:r>
        <w:rPr>
          <w:rFonts w:ascii="Arial" w:cs="Arial" w:eastAsia="Arial" w:hAnsi="Arial"/>
          <w:sz w:val="14"/>
          <w:szCs w:val="14"/>
          <w:i w:val="1"/>
          <w:iCs w:val="1"/>
          <w:color w:val="auto"/>
        </w:rPr>
        <w:t>$</w:t>
      </w:r>
      <w:r>
        <w:rPr>
          <w:rFonts w:ascii="Arial" w:cs="Arial" w:eastAsia="Arial" w:hAnsi="Arial"/>
          <w:sz w:val="14"/>
          <w:szCs w:val="14"/>
          <w:color w:val="auto"/>
        </w:rPr>
        <w:t>]____________, all of such Securities issued and to be issued under an</w:t>
      </w:r>
    </w:p>
    <w:p>
      <w:pPr>
        <w:spacing w:after="0" w:line="1" w:lineRule="exact"/>
        <w:rPr>
          <w:sz w:val="20"/>
          <w:szCs w:val="20"/>
          <w:color w:val="auto"/>
        </w:rPr>
      </w:pPr>
    </w:p>
    <w:p>
      <w:pPr>
        <w:ind w:left="1"/>
        <w:spacing w:after="0"/>
        <w:rPr>
          <w:sz w:val="20"/>
          <w:szCs w:val="20"/>
          <w:color w:val="auto"/>
        </w:rPr>
      </w:pPr>
      <w:r>
        <w:rPr>
          <w:rFonts w:ascii="Arial" w:cs="Arial" w:eastAsia="Arial" w:hAnsi="Arial"/>
          <w:sz w:val="14"/>
          <w:szCs w:val="14"/>
          <w:color w:val="auto"/>
        </w:rPr>
        <w:t>Indenture dated as of ________, _____ (the “Indenture”) between the Issuer and __________________________ as trustee (the “Trustee”). Capitalized terms herein are</w:t>
      </w:r>
    </w:p>
    <w:p>
      <w:pPr>
        <w:spacing w:after="0" w:line="37" w:lineRule="exact"/>
        <w:rPr>
          <w:sz w:val="20"/>
          <w:szCs w:val="20"/>
          <w:color w:val="auto"/>
        </w:rPr>
      </w:pPr>
    </w:p>
    <w:p>
      <w:pPr>
        <w:ind w:left="1" w:right="40"/>
        <w:spacing w:after="0" w:line="244" w:lineRule="auto"/>
        <w:rPr>
          <w:sz w:val="20"/>
          <w:szCs w:val="20"/>
          <w:color w:val="auto"/>
        </w:rPr>
      </w:pPr>
      <w:r>
        <w:rPr>
          <w:rFonts w:ascii="Arial" w:cs="Arial" w:eastAsia="Arial" w:hAnsi="Arial"/>
          <w:sz w:val="17"/>
          <w:szCs w:val="17"/>
          <w:color w:val="auto"/>
        </w:rPr>
        <w:t>used as defined in the Indenture unless otherwise indicated. The terms of the Securities include those stated in the Indenture and those made part of the Indenture by reference to the Trust Indenture Act of 1939, as in effect on the date of the Indenture. The Securities are subject to all such terms, and Holders are referred to the Indenture and the Trust Indenture Act for a statement of all such terms. To the extent permitted by applicable law, in the event of any inconsistency between the terms of this Security and the terms of the Indenture, the terms of the Indenture shall control.</w:t>
      </w:r>
    </w:p>
    <w:p>
      <w:pPr>
        <w:spacing w:after="0" w:line="186" w:lineRule="exact"/>
        <w:rPr>
          <w:sz w:val="20"/>
          <w:szCs w:val="20"/>
          <w:color w:val="auto"/>
        </w:rPr>
      </w:pPr>
    </w:p>
    <w:p>
      <w:pPr>
        <w:ind w:left="601"/>
        <w:spacing w:after="0"/>
        <w:rPr>
          <w:sz w:val="20"/>
          <w:szCs w:val="20"/>
          <w:color w:val="auto"/>
        </w:rPr>
      </w:pPr>
      <w:r>
        <w:rPr>
          <w:rFonts w:ascii="Arial" w:cs="Arial" w:eastAsia="Arial" w:hAnsi="Arial"/>
          <w:sz w:val="15"/>
          <w:szCs w:val="15"/>
          <w:color w:val="auto"/>
        </w:rPr>
        <w:t>This Security is one of a series of Securities designated pursuant to the Indenture [and a [</w:t>
      </w:r>
      <w:r>
        <w:rPr>
          <w:rFonts w:ascii="Arial" w:cs="Arial" w:eastAsia="Arial" w:hAnsi="Arial"/>
          <w:sz w:val="15"/>
          <w:szCs w:val="15"/>
          <w:i w:val="1"/>
          <w:iCs w:val="1"/>
          <w:color w:val="auto"/>
        </w:rPr>
        <w:t>Supplemental Indenture</w:t>
      </w:r>
      <w:r>
        <w:rPr>
          <w:rFonts w:ascii="Arial" w:cs="Arial" w:eastAsia="Arial" w:hAnsi="Arial"/>
          <w:sz w:val="15"/>
          <w:szCs w:val="15"/>
          <w:color w:val="auto"/>
        </w:rPr>
        <w:t>] dated _____, _____, issued pursuant to</w:t>
      </w:r>
    </w:p>
    <w:p>
      <w:pPr>
        <w:spacing w:after="0" w:line="37" w:lineRule="exact"/>
        <w:rPr>
          <w:sz w:val="20"/>
          <w:szCs w:val="20"/>
          <w:color w:val="auto"/>
        </w:rPr>
      </w:pPr>
    </w:p>
    <w:p>
      <w:pPr>
        <w:ind w:left="1"/>
        <w:spacing w:after="0"/>
        <w:rPr>
          <w:sz w:val="20"/>
          <w:szCs w:val="20"/>
          <w:color w:val="auto"/>
        </w:rPr>
      </w:pPr>
      <w:r>
        <w:rPr>
          <w:rFonts w:ascii="Arial" w:cs="Arial" w:eastAsia="Arial" w:hAnsi="Arial"/>
          <w:sz w:val="14"/>
          <w:szCs w:val="14"/>
          <w:color w:val="auto"/>
        </w:rPr>
        <w:t>Section 2.01 and Section 2.03 thereof (the “Supplemental Indenture”)] as ________________. The Securities are general unsecured obligations of the Issuer. The Issuer</w:t>
      </w:r>
    </w:p>
    <w:p>
      <w:pPr>
        <w:spacing w:after="0" w:line="37" w:lineRule="exact"/>
        <w:rPr>
          <w:sz w:val="20"/>
          <w:szCs w:val="20"/>
          <w:color w:val="auto"/>
        </w:rPr>
      </w:pPr>
    </w:p>
    <w:p>
      <w:pPr>
        <w:ind w:left="1"/>
        <w:spacing w:after="0"/>
        <w:rPr>
          <w:sz w:val="20"/>
          <w:szCs w:val="20"/>
          <w:color w:val="auto"/>
        </w:rPr>
      </w:pPr>
      <w:r>
        <w:rPr>
          <w:rFonts w:ascii="Arial" w:cs="Arial" w:eastAsia="Arial" w:hAnsi="Arial"/>
          <w:sz w:val="17"/>
          <w:szCs w:val="17"/>
          <w:color w:val="auto"/>
        </w:rPr>
        <w:t>may, subject to the provisions of the Indenture and applicable law, issue additional Securities of any series under the Indenture.</w:t>
      </w:r>
    </w:p>
    <w:p>
      <w:pPr>
        <w:spacing w:after="0" w:line="191" w:lineRule="exact"/>
        <w:rPr>
          <w:sz w:val="20"/>
          <w:szCs w:val="20"/>
          <w:color w:val="auto"/>
        </w:rPr>
      </w:pPr>
    </w:p>
    <w:p>
      <w:pPr>
        <w:ind w:left="601" w:hanging="601"/>
        <w:spacing w:after="0"/>
        <w:tabs>
          <w:tab w:leader="none" w:pos="601" w:val="left"/>
        </w:tabs>
        <w:numPr>
          <w:ilvl w:val="0"/>
          <w:numId w:val="100"/>
        </w:numPr>
        <w:rPr>
          <w:rFonts w:ascii="Arial" w:cs="Arial" w:eastAsia="Arial" w:hAnsi="Arial"/>
          <w:sz w:val="17"/>
          <w:szCs w:val="17"/>
          <w:color w:val="auto"/>
        </w:rPr>
      </w:pPr>
      <w:r>
        <w:rPr>
          <w:rFonts w:ascii="Arial" w:cs="Arial" w:eastAsia="Arial" w:hAnsi="Arial"/>
          <w:sz w:val="17"/>
          <w:szCs w:val="17"/>
          <w:color w:val="auto"/>
        </w:rPr>
        <w:t>Method of Payment.</w:t>
      </w:r>
    </w:p>
    <w:p>
      <w:pPr>
        <w:spacing w:after="0" w:line="201" w:lineRule="exact"/>
        <w:rPr>
          <w:sz w:val="20"/>
          <w:szCs w:val="20"/>
          <w:color w:val="auto"/>
        </w:rPr>
      </w:pPr>
    </w:p>
    <w:p>
      <w:pPr>
        <w:ind w:left="1" w:right="60" w:firstLine="595"/>
        <w:spacing w:after="0" w:line="298" w:lineRule="auto"/>
        <w:rPr>
          <w:sz w:val="20"/>
          <w:szCs w:val="20"/>
          <w:color w:val="auto"/>
        </w:rPr>
      </w:pPr>
      <w:r>
        <w:rPr>
          <w:rFonts w:ascii="Arial" w:cs="Arial" w:eastAsia="Arial" w:hAnsi="Arial"/>
          <w:sz w:val="14"/>
          <w:szCs w:val="14"/>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Trustee to collect principal payments. The Issuer shall pay Principal and interest in money of [</w:t>
      </w:r>
      <w:r>
        <w:rPr>
          <w:rFonts w:ascii="Arial" w:cs="Arial" w:eastAsia="Arial" w:hAnsi="Arial"/>
          <w:sz w:val="14"/>
          <w:szCs w:val="14"/>
          <w:i w:val="1"/>
          <w:iCs w:val="1"/>
          <w:color w:val="auto"/>
        </w:rPr>
        <w:t>the United States</w:t>
      </w:r>
      <w:r>
        <w:rPr>
          <w:rFonts w:ascii="Arial" w:cs="Arial" w:eastAsia="Arial" w:hAnsi="Arial"/>
          <w:sz w:val="14"/>
          <w:szCs w:val="14"/>
          <w:color w:val="auto"/>
        </w:rPr>
        <w:t>] that at the time of payment is legal tender for payment of public and private debts. [However, the payments of interest, and any portion of the Principal (other than interest payable at maturity or on any redemption or repayment date or the final payment of Principal) shall be made by the Paying Agent, upon receipt from the Issuer of immediately available funds by __________ [</w:t>
      </w:r>
      <w:r>
        <w:rPr>
          <w:rFonts w:ascii="Arial" w:cs="Arial" w:eastAsia="Arial" w:hAnsi="Arial"/>
          <w:sz w:val="14"/>
          <w:szCs w:val="14"/>
          <w:i w:val="1"/>
          <w:iCs w:val="1"/>
          <w:color w:val="auto"/>
        </w:rPr>
        <w:t>a./p.m.</w:t>
      </w:r>
      <w:r>
        <w:rPr>
          <w:rFonts w:ascii="Arial" w:cs="Arial" w:eastAsia="Arial" w:hAnsi="Arial"/>
          <w:sz w:val="14"/>
          <w:szCs w:val="14"/>
          <w:color w:val="auto"/>
        </w:rPr>
        <w:t>], New York City time (or such other time as may be agreed to between the Issuer and the</w:t>
      </w:r>
    </w:p>
    <w:p>
      <w:pPr>
        <w:spacing w:after="0" w:line="2" w:lineRule="exact"/>
        <w:rPr>
          <w:sz w:val="20"/>
          <w:szCs w:val="20"/>
          <w:color w:val="auto"/>
        </w:rPr>
      </w:pPr>
    </w:p>
    <w:p>
      <w:pPr>
        <w:ind w:left="1"/>
        <w:spacing w:after="0" w:line="244" w:lineRule="auto"/>
        <w:rPr>
          <w:sz w:val="20"/>
          <w:szCs w:val="20"/>
          <w:color w:val="auto"/>
        </w:rPr>
      </w:pPr>
      <w:r>
        <w:rPr>
          <w:rFonts w:ascii="Arial" w:cs="Arial" w:eastAsia="Arial" w:hAnsi="Arial"/>
          <w:sz w:val="17"/>
          <w:szCs w:val="17"/>
          <w:color w:val="auto"/>
        </w:rPr>
        <w:t>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1">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181"/>
          </w:cols>
          <w:pgMar w:left="319" w:top="843" w:right="399" w:bottom="1440" w:gutter="0" w:footer="0" w:header="0"/>
        </w:sectPr>
      </w:pPr>
    </w:p>
    <w:bookmarkStart w:id="167" w:name="page168"/>
    <w:bookmarkEnd w:id="167"/>
    <w:p>
      <w:pPr>
        <w:ind w:left="601" w:hanging="601"/>
        <w:spacing w:after="0"/>
        <w:tabs>
          <w:tab w:leader="none" w:pos="601" w:val="left"/>
        </w:tabs>
        <w:numPr>
          <w:ilvl w:val="0"/>
          <w:numId w:val="101"/>
        </w:numPr>
        <w:rPr>
          <w:rFonts w:ascii="Arial" w:cs="Arial" w:eastAsia="Arial" w:hAnsi="Arial"/>
          <w:sz w:val="17"/>
          <w:szCs w:val="17"/>
          <w:color w:val="auto"/>
        </w:rPr>
      </w:pPr>
      <w:r>
        <w:rPr>
          <w:rFonts w:ascii="Arial" w:cs="Arial" w:eastAsia="Arial" w:hAnsi="Arial"/>
          <w:sz w:val="17"/>
          <w:szCs w:val="17"/>
          <w:color w:val="auto"/>
        </w:rPr>
        <w:t>Redemption.</w:t>
      </w:r>
    </w:p>
    <w:p>
      <w:pPr>
        <w:spacing w:after="0" w:line="201" w:lineRule="exact"/>
        <w:rPr>
          <w:sz w:val="20"/>
          <w:szCs w:val="20"/>
          <w:color w:val="auto"/>
        </w:rPr>
      </w:pPr>
    </w:p>
    <w:p>
      <w:pPr>
        <w:ind w:left="601"/>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The Securities of this series may be redeemed at any time</w:t>
      </w:r>
      <w:r>
        <w:rPr>
          <w:rFonts w:ascii="Arial" w:cs="Arial" w:eastAsia="Arial" w:hAnsi="Arial"/>
          <w:sz w:val="15"/>
          <w:szCs w:val="15"/>
          <w:color w:val="auto"/>
        </w:rPr>
        <w:t xml:space="preserve"> [</w:t>
      </w:r>
      <w:r>
        <w:rPr>
          <w:rFonts w:ascii="Arial" w:cs="Arial" w:eastAsia="Arial" w:hAnsi="Arial"/>
          <w:sz w:val="15"/>
          <w:szCs w:val="15"/>
          <w:i w:val="1"/>
          <w:iCs w:val="1"/>
          <w:color w:val="auto"/>
        </w:rPr>
        <w:t>on or after ______, ______</w:t>
      </w:r>
      <w:r>
        <w:rPr>
          <w:rFonts w:ascii="Arial" w:cs="Arial" w:eastAsia="Arial" w:hAnsi="Arial"/>
          <w:sz w:val="15"/>
          <w:szCs w:val="15"/>
          <w:color w:val="auto"/>
        </w:rPr>
        <w:t>]</w:t>
      </w:r>
      <w:r>
        <w:rPr>
          <w:rFonts w:ascii="Arial" w:cs="Arial" w:eastAsia="Arial" w:hAnsi="Arial"/>
          <w:sz w:val="15"/>
          <w:szCs w:val="15"/>
          <w:i w:val="1"/>
          <w:iCs w:val="1"/>
          <w:color w:val="auto"/>
        </w:rPr>
        <w:t>, as a whole or in part, at the option of the Issuer, upon mailing notice of</w:t>
      </w:r>
    </w:p>
    <w:p>
      <w:pPr>
        <w:spacing w:after="0" w:line="37"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such redemption not less than 10 and not more than 60 days to the Holders of such Securities, at a redemption price equal to ___________</w:t>
      </w:r>
      <w:r>
        <w:rPr>
          <w:rFonts w:ascii="Arial" w:cs="Arial" w:eastAsia="Arial" w:hAnsi="Arial"/>
          <w:sz w:val="17"/>
          <w:szCs w:val="17"/>
          <w:color w:val="auto"/>
        </w:rPr>
        <w:t>.]</w:t>
      </w:r>
    </w:p>
    <w:p>
      <w:pPr>
        <w:spacing w:after="0" w:line="191" w:lineRule="exact"/>
        <w:rPr>
          <w:sz w:val="20"/>
          <w:szCs w:val="20"/>
          <w:color w:val="auto"/>
        </w:rPr>
      </w:pPr>
    </w:p>
    <w:p>
      <w:pPr>
        <w:ind w:left="601" w:hanging="601"/>
        <w:spacing w:after="0"/>
        <w:tabs>
          <w:tab w:leader="none" w:pos="601" w:val="left"/>
        </w:tabs>
        <w:numPr>
          <w:ilvl w:val="0"/>
          <w:numId w:val="102"/>
        </w:numPr>
        <w:rPr>
          <w:rFonts w:ascii="Arial" w:cs="Arial" w:eastAsia="Arial" w:hAnsi="Arial"/>
          <w:sz w:val="17"/>
          <w:szCs w:val="17"/>
          <w:color w:val="auto"/>
        </w:rPr>
      </w:pPr>
      <w:r>
        <w:rPr>
          <w:rFonts w:ascii="Arial" w:cs="Arial" w:eastAsia="Arial" w:hAnsi="Arial"/>
          <w:sz w:val="17"/>
          <w:szCs w:val="17"/>
          <w:color w:val="auto"/>
        </w:rPr>
        <w:t>Paying Agent and Security Registrar</w:t>
      </w:r>
    </w:p>
    <w:p>
      <w:pPr>
        <w:spacing w:after="0" w:line="201" w:lineRule="exact"/>
        <w:rPr>
          <w:sz w:val="20"/>
          <w:szCs w:val="20"/>
          <w:color w:val="auto"/>
        </w:rPr>
      </w:pPr>
    </w:p>
    <w:p>
      <w:pPr>
        <w:ind w:left="601"/>
        <w:spacing w:after="0"/>
        <w:rPr>
          <w:sz w:val="20"/>
          <w:szCs w:val="20"/>
          <w:color w:val="auto"/>
        </w:rPr>
      </w:pPr>
      <w:r>
        <w:rPr>
          <w:rFonts w:ascii="Arial" w:cs="Arial" w:eastAsia="Arial" w:hAnsi="Arial"/>
          <w:sz w:val="15"/>
          <w:szCs w:val="15"/>
          <w:color w:val="auto"/>
        </w:rPr>
        <w:t>Initially, [the Trustee] will act as Paying Agent and Security Registrar. The Issuer may change any Paying Agent or Security Registrar without notice to the</w:t>
      </w:r>
    </w:p>
    <w:p>
      <w:pPr>
        <w:spacing w:after="0" w:line="37" w:lineRule="exact"/>
        <w:rPr>
          <w:sz w:val="20"/>
          <w:szCs w:val="20"/>
          <w:color w:val="auto"/>
        </w:rPr>
      </w:pPr>
    </w:p>
    <w:p>
      <w:pPr>
        <w:ind w:left="1"/>
        <w:spacing w:after="0"/>
        <w:rPr>
          <w:sz w:val="20"/>
          <w:szCs w:val="20"/>
          <w:color w:val="auto"/>
        </w:rPr>
      </w:pPr>
      <w:r>
        <w:rPr>
          <w:rFonts w:ascii="Arial" w:cs="Arial" w:eastAsia="Arial" w:hAnsi="Arial"/>
          <w:sz w:val="17"/>
          <w:szCs w:val="17"/>
          <w:color w:val="auto"/>
        </w:rPr>
        <w:t>Holders.</w:t>
      </w:r>
    </w:p>
    <w:p>
      <w:pPr>
        <w:spacing w:after="0" w:line="191" w:lineRule="exact"/>
        <w:rPr>
          <w:sz w:val="20"/>
          <w:szCs w:val="20"/>
          <w:color w:val="auto"/>
        </w:rPr>
      </w:pPr>
    </w:p>
    <w:p>
      <w:pPr>
        <w:ind w:left="601" w:hanging="601"/>
        <w:spacing w:after="0"/>
        <w:tabs>
          <w:tab w:leader="none" w:pos="601" w:val="left"/>
        </w:tabs>
        <w:numPr>
          <w:ilvl w:val="0"/>
          <w:numId w:val="103"/>
        </w:numPr>
        <w:rPr>
          <w:rFonts w:ascii="Arial" w:cs="Arial" w:eastAsia="Arial" w:hAnsi="Arial"/>
          <w:sz w:val="17"/>
          <w:szCs w:val="17"/>
          <w:color w:val="auto"/>
        </w:rPr>
      </w:pPr>
      <w:r>
        <w:rPr>
          <w:rFonts w:ascii="Arial" w:cs="Arial" w:eastAsia="Arial" w:hAnsi="Arial"/>
          <w:sz w:val="17"/>
          <w:szCs w:val="17"/>
          <w:color w:val="auto"/>
        </w:rPr>
        <w:t>Denominations; Transfer; Exchange.</w:t>
      </w:r>
    </w:p>
    <w:p>
      <w:pPr>
        <w:spacing w:after="0" w:line="201" w:lineRule="exact"/>
        <w:rPr>
          <w:sz w:val="20"/>
          <w:szCs w:val="20"/>
          <w:color w:val="auto"/>
        </w:rPr>
      </w:pPr>
    </w:p>
    <w:p>
      <w:pPr>
        <w:ind w:left="1" w:right="20" w:firstLine="595"/>
        <w:spacing w:after="0" w:line="313" w:lineRule="auto"/>
        <w:rPr>
          <w:sz w:val="20"/>
          <w:szCs w:val="20"/>
          <w:color w:val="auto"/>
        </w:rPr>
      </w:pPr>
      <w:r>
        <w:rPr>
          <w:rFonts w:ascii="Arial" w:cs="Arial" w:eastAsia="Arial" w:hAnsi="Arial"/>
          <w:sz w:val="14"/>
          <w:szCs w:val="14"/>
          <w:color w:val="auto"/>
        </w:rPr>
        <w:t>The Securities are in registered form, without coupons, in denominations of [</w:t>
      </w:r>
      <w:r>
        <w:rPr>
          <w:rFonts w:ascii="Arial" w:cs="Arial" w:eastAsia="Arial" w:hAnsi="Arial"/>
          <w:sz w:val="14"/>
          <w:szCs w:val="14"/>
          <w:i w:val="1"/>
          <w:iCs w:val="1"/>
          <w:color w:val="auto"/>
        </w:rPr>
        <w:t>$1,000</w:t>
      </w:r>
      <w:r>
        <w:rPr>
          <w:rFonts w:ascii="Arial" w:cs="Arial" w:eastAsia="Arial" w:hAnsi="Arial"/>
          <w:sz w:val="14"/>
          <w:szCs w:val="14"/>
          <w:color w:val="auto"/>
        </w:rPr>
        <w:t>] and multiples of [</w:t>
      </w:r>
      <w:r>
        <w:rPr>
          <w:rFonts w:ascii="Arial" w:cs="Arial" w:eastAsia="Arial" w:hAnsi="Arial"/>
          <w:sz w:val="14"/>
          <w:szCs w:val="14"/>
          <w:i w:val="1"/>
          <w:iCs w:val="1"/>
          <w:color w:val="auto"/>
        </w:rPr>
        <w:t>$1,000</w:t>
      </w:r>
      <w:r>
        <w:rPr>
          <w:rFonts w:ascii="Arial" w:cs="Arial" w:eastAsia="Arial" w:hAnsi="Arial"/>
          <w:sz w:val="14"/>
          <w:szCs w:val="14"/>
          <w:color w:val="auto"/>
        </w:rPr>
        <w:t>].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w:t>
      </w:r>
      <w:r>
        <w:rPr>
          <w:rFonts w:ascii="Arial" w:cs="Arial" w:eastAsia="Arial" w:hAnsi="Arial"/>
          <w:sz w:val="14"/>
          <w:szCs w:val="14"/>
          <w:i w:val="1"/>
          <w:iCs w:val="1"/>
          <w:color w:val="auto"/>
        </w:rPr>
        <w:t>The Issuer need not register the transfer</w:t>
      </w:r>
      <w:r>
        <w:rPr>
          <w:rFonts w:ascii="Arial" w:cs="Arial" w:eastAsia="Arial" w:hAnsi="Arial"/>
          <w:sz w:val="14"/>
          <w:szCs w:val="14"/>
          <w:color w:val="auto"/>
        </w:rPr>
        <w:t xml:space="preserve"> </w:t>
      </w:r>
      <w:r>
        <w:rPr>
          <w:rFonts w:ascii="Arial" w:cs="Arial" w:eastAsia="Arial" w:hAnsi="Arial"/>
          <w:sz w:val="14"/>
          <w:szCs w:val="14"/>
          <w:i w:val="1"/>
          <w:iCs w:val="1"/>
          <w:color w:val="auto"/>
        </w:rPr>
        <w:t>of or exchange (a) any Securities for a period of fifteen (15) days preceding the first notice that such Securities are to be redeemed, or (b) any Securities selected, called or being called for redemption in whole or in part, except, in the case of any Security to be redeemed in part, the portion thereof not to be so redeemed.</w:t>
      </w:r>
      <w:r>
        <w:rPr>
          <w:rFonts w:ascii="Arial" w:cs="Arial" w:eastAsia="Arial" w:hAnsi="Arial"/>
          <w:sz w:val="14"/>
          <w:szCs w:val="14"/>
          <w:color w:val="auto"/>
        </w:rPr>
        <w:t>]</w:t>
      </w:r>
    </w:p>
    <w:p>
      <w:pPr>
        <w:spacing w:after="0" w:line="141" w:lineRule="exact"/>
        <w:rPr>
          <w:sz w:val="20"/>
          <w:szCs w:val="20"/>
          <w:color w:val="auto"/>
        </w:rPr>
      </w:pPr>
    </w:p>
    <w:p>
      <w:pPr>
        <w:ind w:left="601" w:hanging="601"/>
        <w:spacing w:after="0"/>
        <w:tabs>
          <w:tab w:leader="none" w:pos="601" w:val="left"/>
        </w:tabs>
        <w:numPr>
          <w:ilvl w:val="0"/>
          <w:numId w:val="104"/>
        </w:numPr>
        <w:rPr>
          <w:rFonts w:ascii="Arial" w:cs="Arial" w:eastAsia="Arial" w:hAnsi="Arial"/>
          <w:sz w:val="17"/>
          <w:szCs w:val="17"/>
          <w:color w:val="auto"/>
        </w:rPr>
      </w:pPr>
      <w:r>
        <w:rPr>
          <w:rFonts w:ascii="Arial" w:cs="Arial" w:eastAsia="Arial" w:hAnsi="Arial"/>
          <w:sz w:val="17"/>
          <w:szCs w:val="17"/>
          <w:color w:val="auto"/>
        </w:rPr>
        <w:t>Persons Deemed Owners.</w:t>
      </w:r>
    </w:p>
    <w:p>
      <w:pPr>
        <w:spacing w:after="0" w:line="201" w:lineRule="exact"/>
        <w:rPr>
          <w:rFonts w:ascii="Arial" w:cs="Arial" w:eastAsia="Arial" w:hAnsi="Arial"/>
          <w:sz w:val="17"/>
          <w:szCs w:val="17"/>
          <w:color w:val="auto"/>
        </w:rPr>
      </w:pPr>
    </w:p>
    <w:p>
      <w:pPr>
        <w:ind w:left="601"/>
        <w:spacing w:after="0"/>
        <w:rPr>
          <w:rFonts w:ascii="Arial" w:cs="Arial" w:eastAsia="Arial" w:hAnsi="Arial"/>
          <w:sz w:val="17"/>
          <w:szCs w:val="17"/>
          <w:color w:val="auto"/>
        </w:rPr>
      </w:pPr>
      <w:r>
        <w:rPr>
          <w:rFonts w:ascii="Arial" w:cs="Arial" w:eastAsia="Arial" w:hAnsi="Arial"/>
          <w:sz w:val="17"/>
          <w:szCs w:val="17"/>
          <w:color w:val="auto"/>
        </w:rPr>
        <w:t>The registered Holder of a Security shall be treated as the owner of it for all purposes.</w:t>
      </w:r>
    </w:p>
    <w:p>
      <w:pPr>
        <w:spacing w:after="0" w:line="201" w:lineRule="exact"/>
        <w:rPr>
          <w:rFonts w:ascii="Arial" w:cs="Arial" w:eastAsia="Arial" w:hAnsi="Arial"/>
          <w:sz w:val="17"/>
          <w:szCs w:val="17"/>
          <w:color w:val="auto"/>
        </w:rPr>
      </w:pPr>
    </w:p>
    <w:p>
      <w:pPr>
        <w:ind w:left="601" w:hanging="601"/>
        <w:spacing w:after="0"/>
        <w:tabs>
          <w:tab w:leader="none" w:pos="601" w:val="left"/>
        </w:tabs>
        <w:numPr>
          <w:ilvl w:val="0"/>
          <w:numId w:val="104"/>
        </w:numPr>
        <w:rPr>
          <w:rFonts w:ascii="Arial" w:cs="Arial" w:eastAsia="Arial" w:hAnsi="Arial"/>
          <w:sz w:val="17"/>
          <w:szCs w:val="17"/>
          <w:color w:val="auto"/>
        </w:rPr>
      </w:pPr>
      <w:r>
        <w:rPr>
          <w:rFonts w:ascii="Arial" w:cs="Arial" w:eastAsia="Arial" w:hAnsi="Arial"/>
          <w:sz w:val="17"/>
          <w:szCs w:val="17"/>
          <w:color w:val="auto"/>
        </w:rPr>
        <w:t>Unclaimed Funds.</w:t>
      </w:r>
    </w:p>
    <w:p>
      <w:pPr>
        <w:spacing w:after="0" w:line="201" w:lineRule="exact"/>
        <w:rPr>
          <w:sz w:val="20"/>
          <w:szCs w:val="20"/>
          <w:color w:val="auto"/>
        </w:rPr>
      </w:pPr>
    </w:p>
    <w:p>
      <w:pPr>
        <w:ind w:left="1" w:right="120" w:firstLine="595"/>
        <w:spacing w:after="0" w:line="260" w:lineRule="auto"/>
        <w:rPr>
          <w:sz w:val="20"/>
          <w:szCs w:val="20"/>
          <w:color w:val="auto"/>
        </w:rPr>
      </w:pPr>
      <w:r>
        <w:rPr>
          <w:rFonts w:ascii="Arial" w:cs="Arial" w:eastAsia="Arial" w:hAnsi="Arial"/>
          <w:sz w:val="17"/>
          <w:szCs w:val="17"/>
          <w:color w:val="auto"/>
        </w:rPr>
        <w:t>If funds for the payment of principal or interest remain unclaimed for two years, the Trustee and the Paying Agent will repay the funds to the Issuer. After that, all liability of the Trustee and such Paying Agent with respect to such funds shall cease.</w:t>
      </w:r>
    </w:p>
    <w:p>
      <w:pPr>
        <w:spacing w:after="0" w:line="172" w:lineRule="exact"/>
        <w:rPr>
          <w:sz w:val="20"/>
          <w:szCs w:val="20"/>
          <w:color w:val="auto"/>
        </w:rPr>
      </w:pPr>
    </w:p>
    <w:p>
      <w:pPr>
        <w:ind w:left="601" w:hanging="601"/>
        <w:spacing w:after="0"/>
        <w:tabs>
          <w:tab w:leader="none" w:pos="60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Defeasance.</w:t>
      </w:r>
    </w:p>
    <w:p>
      <w:pPr>
        <w:spacing w:after="0" w:line="201" w:lineRule="exact"/>
        <w:rPr>
          <w:sz w:val="20"/>
          <w:szCs w:val="20"/>
          <w:color w:val="auto"/>
        </w:rPr>
      </w:pPr>
    </w:p>
    <w:p>
      <w:pPr>
        <w:ind w:left="1" w:right="80" w:firstLine="595"/>
        <w:spacing w:after="0" w:line="252" w:lineRule="auto"/>
        <w:rPr>
          <w:sz w:val="20"/>
          <w:szCs w:val="20"/>
          <w:color w:val="auto"/>
        </w:rPr>
      </w:pPr>
      <w:r>
        <w:rPr>
          <w:rFonts w:ascii="Arial" w:cs="Arial" w:eastAsia="Arial" w:hAnsi="Arial"/>
          <w:sz w:val="17"/>
          <w:szCs w:val="17"/>
          <w:color w:val="auto"/>
        </w:rPr>
        <w:t>The Indenture [</w:t>
      </w:r>
      <w:r>
        <w:rPr>
          <w:rFonts w:ascii="Arial" w:cs="Arial" w:eastAsia="Arial" w:hAnsi="Arial"/>
          <w:sz w:val="17"/>
          <w:szCs w:val="17"/>
          <w:i w:val="1"/>
          <w:iCs w:val="1"/>
          <w:color w:val="auto"/>
        </w:rPr>
        <w:t>as amended by the Supplemental Indenture</w:t>
      </w:r>
      <w:r>
        <w:rPr>
          <w:rFonts w:ascii="Arial" w:cs="Arial" w:eastAsia="Arial" w:hAnsi="Arial"/>
          <w:sz w:val="17"/>
          <w:szCs w:val="17"/>
          <w:color w:val="auto"/>
        </w:rPr>
        <w:t>] contains provisions for defeasance at any time of (a) the entire indebtedness of the Issuer on this Security and (b) certain restrictive covenants and the related Events of Default, upon compliance by the Issuer with certain conditions set forth therein, which provisions [</w:t>
      </w:r>
      <w:r>
        <w:rPr>
          <w:rFonts w:ascii="Arial" w:cs="Arial" w:eastAsia="Arial" w:hAnsi="Arial"/>
          <w:sz w:val="17"/>
          <w:szCs w:val="17"/>
          <w:i w:val="1"/>
          <w:iCs w:val="1"/>
          <w:color w:val="auto"/>
        </w:rPr>
        <w:t>apply</w:t>
      </w:r>
      <w:r>
        <w:rPr>
          <w:rFonts w:ascii="Arial" w:cs="Arial" w:eastAsia="Arial" w:hAnsi="Arial"/>
          <w:sz w:val="17"/>
          <w:szCs w:val="17"/>
          <w:color w:val="auto"/>
        </w:rPr>
        <w:t>] to this Security.</w:t>
      </w:r>
    </w:p>
    <w:p>
      <w:pPr>
        <w:spacing w:after="0" w:line="178" w:lineRule="exact"/>
        <w:rPr>
          <w:sz w:val="20"/>
          <w:szCs w:val="20"/>
          <w:color w:val="auto"/>
        </w:rPr>
      </w:pPr>
    </w:p>
    <w:p>
      <w:pPr>
        <w:ind w:left="601" w:hanging="601"/>
        <w:spacing w:after="0"/>
        <w:tabs>
          <w:tab w:leader="none" w:pos="601"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Amendment; Supplement; Waiver.</w:t>
      </w:r>
    </w:p>
    <w:p>
      <w:pPr>
        <w:spacing w:after="0" w:line="201" w:lineRule="exact"/>
        <w:rPr>
          <w:sz w:val="20"/>
          <w:szCs w:val="20"/>
          <w:color w:val="auto"/>
        </w:rPr>
      </w:pPr>
    </w:p>
    <w:p>
      <w:pPr>
        <w:ind w:left="1" w:firstLine="595"/>
        <w:spacing w:after="0" w:line="284" w:lineRule="auto"/>
        <w:rPr>
          <w:sz w:val="20"/>
          <w:szCs w:val="20"/>
          <w:color w:val="auto"/>
        </w:rPr>
      </w:pPr>
      <w:r>
        <w:rPr>
          <w:rFonts w:ascii="Arial" w:cs="Arial" w:eastAsia="Arial" w:hAnsi="Arial"/>
          <w:sz w:val="15"/>
          <w:szCs w:val="15"/>
          <w:color w:val="auto"/>
        </w:rPr>
        <w:t>Subject to certain exceptions, the Securities of this series, [the Supplemental Indenture] and the provisions of the Indenture relating to the Securities of this series may be amended or supplemented with the written consent of the Holders of at least a majority in aggregate principal amount of the Securities of this series then outstanding, and any existing Default or Event of Default, other than the non-payment of the principal amount of or interest on the Securities of this series, or compliance with certain provisions may be waived with the consent of the Holders of a majority in aggregate principal amount of all the Securities of this series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make any other change that does not adversely affect the rights of any Holder of a Security.</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2">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21"/>
          </w:cols>
          <w:pgMar w:left="319" w:top="846" w:right="359" w:bottom="1440" w:gutter="0" w:footer="0" w:header="0"/>
        </w:sectPr>
      </w:pPr>
    </w:p>
    <w:bookmarkStart w:id="168" w:name="page169"/>
    <w:bookmarkEnd w:id="168"/>
    <w:p>
      <w:pPr>
        <w:ind w:left="601" w:hanging="601"/>
        <w:spacing w:after="0"/>
        <w:tabs>
          <w:tab w:leader="none" w:pos="601" w:val="left"/>
        </w:tabs>
        <w:numPr>
          <w:ilvl w:val="0"/>
          <w:numId w:val="107"/>
        </w:numPr>
        <w:rPr>
          <w:rFonts w:ascii="Arial" w:cs="Arial" w:eastAsia="Arial" w:hAnsi="Arial"/>
          <w:sz w:val="17"/>
          <w:szCs w:val="17"/>
          <w:color w:val="auto"/>
        </w:rPr>
      </w:pPr>
      <w:r>
        <w:rPr>
          <w:rFonts w:ascii="Arial" w:cs="Arial" w:eastAsia="Arial" w:hAnsi="Arial"/>
          <w:sz w:val="17"/>
          <w:szCs w:val="17"/>
          <w:color w:val="auto"/>
        </w:rPr>
        <w:t>Defaults and Remedies.</w:t>
      </w:r>
    </w:p>
    <w:p>
      <w:pPr>
        <w:spacing w:after="0" w:line="201" w:lineRule="exact"/>
        <w:rPr>
          <w:sz w:val="20"/>
          <w:szCs w:val="20"/>
          <w:color w:val="auto"/>
        </w:rPr>
      </w:pPr>
    </w:p>
    <w:p>
      <w:pPr>
        <w:ind w:left="1" w:right="40" w:firstLine="595"/>
        <w:spacing w:after="0" w:line="282" w:lineRule="auto"/>
        <w:rPr>
          <w:sz w:val="20"/>
          <w:szCs w:val="20"/>
          <w:color w:val="auto"/>
        </w:rPr>
      </w:pPr>
      <w:r>
        <w:rPr>
          <w:rFonts w:ascii="Arial" w:cs="Arial" w:eastAsia="Arial" w:hAnsi="Arial"/>
          <w:sz w:val="15"/>
          <w:szCs w:val="15"/>
          <w:color w:val="auto"/>
        </w:rPr>
        <w:t>If an Event of Default (other than certain bankruptcy Events of Default with respect to the Issuer) occurs and is continuing, the Trustee or the Holders of at least 25% in aggregate principal amount of Securities of this series then outstanding (voting as a separate class) by notice in writing to the Issuer (and also to the Trustee if such notice is given by the Holders) may declare [</w:t>
      </w:r>
      <w:r>
        <w:rPr>
          <w:rFonts w:ascii="Arial" w:cs="Arial" w:eastAsia="Arial" w:hAnsi="Arial"/>
          <w:sz w:val="15"/>
          <w:szCs w:val="15"/>
          <w:i w:val="1"/>
          <w:iCs w:val="1"/>
          <w:color w:val="auto"/>
        </w:rPr>
        <w:t>the entire principal</w:t>
      </w:r>
      <w:r>
        <w:rPr>
          <w:rFonts w:ascii="Arial" w:cs="Arial" w:eastAsia="Arial" w:hAnsi="Arial"/>
          <w:sz w:val="15"/>
          <w:szCs w:val="15"/>
          <w:color w:val="auto"/>
        </w:rPr>
        <w:t>] of the Securities of this series and the interest accrued thereon, if any, to be due and payable immediately in the manner and with the effect provided in the Indenture. If a bankruptcy Event of Default with respect to the Issuer occurs and is continuing, then [</w:t>
      </w:r>
      <w:r>
        <w:rPr>
          <w:rFonts w:ascii="Arial" w:cs="Arial" w:eastAsia="Arial" w:hAnsi="Arial"/>
          <w:sz w:val="15"/>
          <w:szCs w:val="15"/>
          <w:i w:val="1"/>
          <w:iCs w:val="1"/>
          <w:color w:val="auto"/>
        </w:rPr>
        <w:t>the</w:t>
      </w:r>
      <w:r>
        <w:rPr>
          <w:rFonts w:ascii="Arial" w:cs="Arial" w:eastAsia="Arial" w:hAnsi="Arial"/>
          <w:sz w:val="15"/>
          <w:szCs w:val="15"/>
          <w:color w:val="auto"/>
        </w:rPr>
        <w:t xml:space="preserve"> </w:t>
      </w:r>
      <w:r>
        <w:rPr>
          <w:rFonts w:ascii="Arial" w:cs="Arial" w:eastAsia="Arial" w:hAnsi="Arial"/>
          <w:sz w:val="15"/>
          <w:szCs w:val="15"/>
          <w:i w:val="1"/>
          <w:iCs w:val="1"/>
          <w:color w:val="auto"/>
        </w:rPr>
        <w:t>entire principal</w:t>
      </w:r>
      <w:r>
        <w:rPr>
          <w:rFonts w:ascii="Arial" w:cs="Arial" w:eastAsia="Arial" w:hAnsi="Arial"/>
          <w:sz w:val="15"/>
          <w:szCs w:val="15"/>
          <w:color w:val="auto"/>
        </w:rPr>
        <w:t>] of the Securities then outstanding and interest accrued thereon, if any, shall become automatically due and payable immediately in the manner and with</w:t>
      </w:r>
      <w:r>
        <w:rPr>
          <w:rFonts w:ascii="Arial" w:cs="Arial" w:eastAsia="Arial" w:hAnsi="Arial"/>
          <w:sz w:val="15"/>
          <w:szCs w:val="15"/>
          <w:i w:val="1"/>
          <w:iCs w:val="1"/>
          <w:color w:val="auto"/>
        </w:rPr>
        <w:t xml:space="preserve"> </w:t>
      </w:r>
      <w:r>
        <w:rPr>
          <w:rFonts w:ascii="Arial" w:cs="Arial" w:eastAsia="Arial" w:hAnsi="Arial"/>
          <w:sz w:val="15"/>
          <w:szCs w:val="15"/>
          <w:color w:val="auto"/>
        </w:rPr>
        <w:t>the effect provided in the Indenture. Holders of Securities may not enforce the Indenture or the Securities except as provided in the Indenture. The Trustee is not obligated to enforce the Indenture or the Securities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60" w:lineRule="exact"/>
        <w:rPr>
          <w:sz w:val="20"/>
          <w:szCs w:val="20"/>
          <w:color w:val="auto"/>
        </w:rPr>
      </w:pPr>
    </w:p>
    <w:p>
      <w:pPr>
        <w:ind w:left="601" w:hanging="601"/>
        <w:spacing w:after="0"/>
        <w:tabs>
          <w:tab w:leader="none" w:pos="601"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Trustee Dealings with Issuer.</w:t>
      </w:r>
    </w:p>
    <w:p>
      <w:pPr>
        <w:spacing w:after="0" w:line="201" w:lineRule="exact"/>
        <w:rPr>
          <w:sz w:val="20"/>
          <w:szCs w:val="20"/>
          <w:color w:val="auto"/>
        </w:rPr>
      </w:pPr>
    </w:p>
    <w:p>
      <w:pPr>
        <w:ind w:left="1" w:right="120" w:firstLine="595"/>
        <w:spacing w:after="0" w:line="260" w:lineRule="auto"/>
        <w:rPr>
          <w:sz w:val="20"/>
          <w:szCs w:val="20"/>
          <w:color w:val="auto"/>
        </w:rPr>
      </w:pPr>
      <w:r>
        <w:rPr>
          <w:rFonts w:ascii="Arial" w:cs="Arial" w:eastAsia="Arial" w:hAnsi="Arial"/>
          <w:sz w:val="17"/>
          <w:szCs w:val="17"/>
          <w:color w:val="auto"/>
        </w:rPr>
        <w:t>The Trustee under the Indenture, in its individual or any other capacity, may become the owner or pledgee of Securities and may otherwise deal with the Issuer as if it were not the Trustee.</w:t>
      </w:r>
    </w:p>
    <w:p>
      <w:pPr>
        <w:spacing w:after="0" w:line="172" w:lineRule="exact"/>
        <w:rPr>
          <w:sz w:val="20"/>
          <w:szCs w:val="20"/>
          <w:color w:val="auto"/>
        </w:rPr>
      </w:pPr>
    </w:p>
    <w:p>
      <w:pPr>
        <w:ind w:left="601" w:hanging="601"/>
        <w:spacing w:after="0"/>
        <w:tabs>
          <w:tab w:leader="none" w:pos="601" w:val="left"/>
        </w:tabs>
        <w:numPr>
          <w:ilvl w:val="0"/>
          <w:numId w:val="109"/>
        </w:numPr>
        <w:rPr>
          <w:rFonts w:ascii="Arial" w:cs="Arial" w:eastAsia="Arial" w:hAnsi="Arial"/>
          <w:sz w:val="17"/>
          <w:szCs w:val="17"/>
          <w:color w:val="auto"/>
        </w:rPr>
      </w:pPr>
      <w:r>
        <w:rPr>
          <w:rFonts w:ascii="Arial" w:cs="Arial" w:eastAsia="Arial" w:hAnsi="Arial"/>
          <w:sz w:val="17"/>
          <w:szCs w:val="17"/>
          <w:color w:val="auto"/>
        </w:rPr>
        <w:t>No Recourse Against Others.</w:t>
      </w:r>
    </w:p>
    <w:p>
      <w:pPr>
        <w:spacing w:after="0" w:line="201" w:lineRule="exact"/>
        <w:rPr>
          <w:sz w:val="20"/>
          <w:szCs w:val="20"/>
          <w:color w:val="auto"/>
        </w:rPr>
      </w:pPr>
    </w:p>
    <w:p>
      <w:pPr>
        <w:jc w:val="both"/>
        <w:ind w:left="1" w:firstLine="595"/>
        <w:spacing w:after="0" w:line="331" w:lineRule="auto"/>
        <w:rPr>
          <w:sz w:val="20"/>
          <w:szCs w:val="20"/>
          <w:color w:val="auto"/>
        </w:rPr>
      </w:pPr>
      <w:r>
        <w:rPr>
          <w:rFonts w:ascii="Arial" w:cs="Arial" w:eastAsia="Arial" w:hAnsi="Arial"/>
          <w:sz w:val="14"/>
          <w:szCs w:val="14"/>
          <w:color w:val="auto"/>
        </w:rPr>
        <w:t>No stockholder, director, officer, employee or incorporator, past, present or future as such, of the Issuer or any predecessor or successor corporation thereof shall have any liability for any obligation under the Securities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28" w:lineRule="exact"/>
        <w:rPr>
          <w:sz w:val="20"/>
          <w:szCs w:val="20"/>
          <w:color w:val="auto"/>
        </w:rPr>
      </w:pPr>
    </w:p>
    <w:p>
      <w:pPr>
        <w:ind w:left="601" w:hanging="601"/>
        <w:spacing w:after="0"/>
        <w:tabs>
          <w:tab w:leader="none" w:pos="601"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Authentication.</w:t>
      </w:r>
    </w:p>
    <w:p>
      <w:pPr>
        <w:spacing w:after="0" w:line="201" w:lineRule="exact"/>
        <w:rPr>
          <w:rFonts w:ascii="Arial" w:cs="Arial" w:eastAsia="Arial" w:hAnsi="Arial"/>
          <w:sz w:val="17"/>
          <w:szCs w:val="17"/>
          <w:color w:val="auto"/>
        </w:rPr>
      </w:pPr>
    </w:p>
    <w:p>
      <w:pPr>
        <w:ind w:left="601"/>
        <w:spacing w:after="0"/>
        <w:rPr>
          <w:rFonts w:ascii="Arial" w:cs="Arial" w:eastAsia="Arial" w:hAnsi="Arial"/>
          <w:sz w:val="17"/>
          <w:szCs w:val="17"/>
          <w:color w:val="auto"/>
        </w:rPr>
      </w:pPr>
      <w:r>
        <w:rPr>
          <w:rFonts w:ascii="Arial" w:cs="Arial" w:eastAsia="Arial" w:hAnsi="Arial"/>
          <w:sz w:val="17"/>
          <w:szCs w:val="17"/>
          <w:color w:val="auto"/>
        </w:rPr>
        <w:t>This Security shall not be valid until the Trustee manually signs the certificate of authentication on this Security.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3">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21"/>
          </w:cols>
          <w:pgMar w:left="319" w:top="846" w:right="359" w:bottom="1440" w:gutter="0" w:footer="0" w:header="0"/>
        </w:sectPr>
      </w:pPr>
    </w:p>
    <w:bookmarkStart w:id="169" w:name="page170"/>
    <w:bookmarkEnd w:id="169"/>
    <w:p>
      <w:pPr>
        <w:ind w:left="601" w:hanging="601"/>
        <w:spacing w:after="0"/>
        <w:tabs>
          <w:tab w:leader="none" w:pos="601"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Abbreviations and Defined Terms.</w:t>
      </w:r>
    </w:p>
    <w:p>
      <w:pPr>
        <w:spacing w:after="0" w:line="201" w:lineRule="exact"/>
        <w:rPr>
          <w:sz w:val="20"/>
          <w:szCs w:val="20"/>
          <w:color w:val="auto"/>
        </w:rPr>
      </w:pPr>
    </w:p>
    <w:p>
      <w:pPr>
        <w:ind w:left="1" w:firstLine="595"/>
        <w:spacing w:after="0" w:line="327" w:lineRule="auto"/>
        <w:rPr>
          <w:sz w:val="20"/>
          <w:szCs w:val="20"/>
          <w:color w:val="auto"/>
        </w:rPr>
      </w:pPr>
      <w:r>
        <w:rPr>
          <w:rFonts w:ascii="Arial" w:cs="Arial" w:eastAsia="Arial" w:hAnsi="Arial"/>
          <w:sz w:val="15"/>
          <w:szCs w:val="15"/>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25" w:lineRule="exact"/>
        <w:rPr>
          <w:sz w:val="20"/>
          <w:szCs w:val="20"/>
          <w:color w:val="auto"/>
        </w:rPr>
      </w:pPr>
    </w:p>
    <w:p>
      <w:pPr>
        <w:ind w:left="601" w:hanging="601"/>
        <w:spacing w:after="0"/>
        <w:tabs>
          <w:tab w:leader="none" w:pos="601" w:val="left"/>
        </w:tabs>
        <w:numPr>
          <w:ilvl w:val="0"/>
          <w:numId w:val="112"/>
        </w:numPr>
        <w:rPr>
          <w:rFonts w:ascii="Arial" w:cs="Arial" w:eastAsia="Arial" w:hAnsi="Arial"/>
          <w:sz w:val="17"/>
          <w:szCs w:val="17"/>
          <w:color w:val="auto"/>
        </w:rPr>
      </w:pPr>
      <w:r>
        <w:rPr>
          <w:rFonts w:ascii="Arial" w:cs="Arial" w:eastAsia="Arial" w:hAnsi="Arial"/>
          <w:sz w:val="17"/>
          <w:szCs w:val="17"/>
          <w:color w:val="auto"/>
        </w:rPr>
        <w:t>CUSIP Numbers.</w:t>
      </w:r>
    </w:p>
    <w:p>
      <w:pPr>
        <w:spacing w:after="0" w:line="201" w:lineRule="exact"/>
        <w:rPr>
          <w:sz w:val="20"/>
          <w:szCs w:val="20"/>
          <w:color w:val="auto"/>
        </w:rPr>
      </w:pPr>
    </w:p>
    <w:p>
      <w:pPr>
        <w:ind w:left="1" w:right="60" w:firstLine="595"/>
        <w:spacing w:after="0" w:line="252" w:lineRule="auto"/>
        <w:rPr>
          <w:sz w:val="20"/>
          <w:szCs w:val="20"/>
          <w:color w:val="auto"/>
        </w:rPr>
      </w:pPr>
      <w:r>
        <w:rPr>
          <w:rFonts w:ascii="Arial" w:cs="Arial" w:eastAsia="Arial" w:hAnsi="Arial"/>
          <w:sz w:val="17"/>
          <w:szCs w:val="17"/>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78" w:lineRule="exact"/>
        <w:rPr>
          <w:sz w:val="20"/>
          <w:szCs w:val="20"/>
          <w:color w:val="auto"/>
        </w:rPr>
      </w:pPr>
    </w:p>
    <w:p>
      <w:pPr>
        <w:ind w:left="601" w:hanging="601"/>
        <w:spacing w:after="0"/>
        <w:tabs>
          <w:tab w:leader="none" w:pos="601" w:val="left"/>
        </w:tabs>
        <w:numPr>
          <w:ilvl w:val="0"/>
          <w:numId w:val="113"/>
        </w:numPr>
        <w:rPr>
          <w:rFonts w:ascii="Arial" w:cs="Arial" w:eastAsia="Arial" w:hAnsi="Arial"/>
          <w:sz w:val="17"/>
          <w:szCs w:val="17"/>
          <w:color w:val="auto"/>
        </w:rPr>
      </w:pPr>
      <w:r>
        <w:rPr>
          <w:rFonts w:ascii="Arial" w:cs="Arial" w:eastAsia="Arial" w:hAnsi="Arial"/>
          <w:sz w:val="17"/>
          <w:szCs w:val="17"/>
          <w:color w:val="auto"/>
        </w:rPr>
        <w:t>Governing Law.</w:t>
      </w:r>
    </w:p>
    <w:p>
      <w:pPr>
        <w:spacing w:after="0" w:line="201" w:lineRule="exact"/>
        <w:rPr>
          <w:sz w:val="20"/>
          <w:szCs w:val="20"/>
          <w:color w:val="auto"/>
        </w:rPr>
      </w:pPr>
    </w:p>
    <w:p>
      <w:pPr>
        <w:ind w:left="1" w:right="80" w:firstLine="595"/>
        <w:spacing w:after="0" w:line="252" w:lineRule="auto"/>
        <w:rPr>
          <w:sz w:val="20"/>
          <w:szCs w:val="20"/>
          <w:color w:val="auto"/>
        </w:rPr>
      </w:pPr>
      <w:r>
        <w:rPr>
          <w:rFonts w:ascii="Arial" w:cs="Arial" w:eastAsia="Arial" w:hAnsi="Arial"/>
          <w:sz w:val="17"/>
          <w:szCs w:val="17"/>
          <w:color w:val="auto"/>
        </w:rPr>
        <w:t>The laws of the State of New York shall govern the Indenture and this Security thereof, and for all purposes this Security shall be governed by and construed in accordance with the laws of such State without regard to any principle of conflict of laws that would require or permit the application of the laws of any other jurisdiction, except as may otherwise be required by mandatory provisions of law.</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4">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01"/>
          </w:cols>
          <w:pgMar w:left="319" w:top="846" w:right="37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213"/>
        </w:trPr>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340" w:type="dxa"/>
            <w:vAlign w:val="bottom"/>
            <w:gridSpan w:val="3"/>
          </w:tcPr>
          <w:p>
            <w:pPr>
              <w:jc w:val="center"/>
              <w:ind w:right="797"/>
              <w:spacing w:after="0"/>
              <w:rPr>
                <w:sz w:val="20"/>
                <w:szCs w:val="20"/>
                <w:color w:val="auto"/>
              </w:rPr>
            </w:pPr>
            <w:r>
              <w:rPr>
                <w:rFonts w:ascii="Arial" w:cs="Arial" w:eastAsia="Arial" w:hAnsi="Arial"/>
                <w:sz w:val="17"/>
                <w:szCs w:val="17"/>
                <w:b w:val="1"/>
                <w:bCs w:val="1"/>
                <w:color w:val="auto"/>
                <w:w w:val="98"/>
              </w:rPr>
              <w:t>ASSIGNMENT FORM</w:t>
            </w:r>
          </w:p>
        </w:tc>
      </w:tr>
      <w:tr>
        <w:trPr>
          <w:trHeight w:val="397"/>
        </w:trPr>
        <w:tc>
          <w:tcPr>
            <w:tcW w:w="500" w:type="dxa"/>
            <w:vAlign w:val="bottom"/>
          </w:tcPr>
          <w:p>
            <w:pPr>
              <w:spacing w:after="0"/>
              <w:rPr>
                <w:sz w:val="24"/>
                <w:szCs w:val="24"/>
                <w:color w:val="auto"/>
              </w:rPr>
            </w:pPr>
          </w:p>
        </w:tc>
        <w:tc>
          <w:tcPr>
            <w:tcW w:w="10740" w:type="dxa"/>
            <w:vAlign w:val="bottom"/>
            <w:gridSpan w:val="4"/>
          </w:tcPr>
          <w:p>
            <w:pPr>
              <w:ind w:left="100"/>
              <w:spacing w:after="0"/>
              <w:rPr>
                <w:sz w:val="20"/>
                <w:szCs w:val="20"/>
                <w:color w:val="auto"/>
              </w:rPr>
            </w:pPr>
            <w:r>
              <w:rPr>
                <w:rFonts w:ascii="Arial" w:cs="Arial" w:eastAsia="Arial" w:hAnsi="Arial"/>
                <w:sz w:val="17"/>
                <w:szCs w:val="17"/>
                <w:color w:val="auto"/>
              </w:rPr>
              <w:t>I or we assign and transfer this Security to</w:t>
            </w:r>
          </w:p>
        </w:tc>
      </w:tr>
      <w:tr>
        <w:trPr>
          <w:trHeight w:val="399"/>
        </w:trPr>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r>
        <w:trPr>
          <w:trHeight w:val="202"/>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340" w:type="dxa"/>
            <w:vAlign w:val="bottom"/>
            <w:gridSpan w:val="3"/>
          </w:tcPr>
          <w:p>
            <w:pPr>
              <w:jc w:val="center"/>
              <w:ind w:right="817"/>
              <w:spacing w:after="0"/>
              <w:rPr>
                <w:sz w:val="20"/>
                <w:szCs w:val="20"/>
                <w:color w:val="auto"/>
              </w:rPr>
            </w:pPr>
            <w:r>
              <w:rPr>
                <w:rFonts w:ascii="Arial" w:cs="Arial" w:eastAsia="Arial" w:hAnsi="Arial"/>
                <w:sz w:val="17"/>
                <w:szCs w:val="17"/>
                <w:color w:val="auto"/>
                <w:w w:val="86"/>
              </w:rPr>
              <w:t>(Print or type name, address and zip code of assignee or transferee)</w:t>
            </w:r>
          </w:p>
        </w:tc>
      </w:tr>
      <w:tr>
        <w:trPr>
          <w:trHeight w:val="386"/>
        </w:trPr>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r>
        <w:trPr>
          <w:trHeight w:val="202"/>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340" w:type="dxa"/>
            <w:vAlign w:val="bottom"/>
            <w:gridSpan w:val="3"/>
          </w:tcPr>
          <w:p>
            <w:pPr>
              <w:jc w:val="center"/>
              <w:ind w:right="797"/>
              <w:spacing w:after="0"/>
              <w:rPr>
                <w:sz w:val="20"/>
                <w:szCs w:val="20"/>
                <w:color w:val="auto"/>
              </w:rPr>
            </w:pPr>
            <w:r>
              <w:rPr>
                <w:rFonts w:ascii="Arial" w:cs="Arial" w:eastAsia="Arial" w:hAnsi="Arial"/>
                <w:sz w:val="17"/>
                <w:szCs w:val="17"/>
                <w:color w:val="auto"/>
                <w:w w:val="88"/>
              </w:rPr>
              <w:t>(Insert Social Security or other identifying number of assignee or transferee)</w:t>
            </w:r>
          </w:p>
        </w:tc>
      </w:tr>
      <w:tr>
        <w:trPr>
          <w:trHeight w:val="374"/>
        </w:trPr>
        <w:tc>
          <w:tcPr>
            <w:tcW w:w="500" w:type="dxa"/>
            <w:vAlign w:val="bottom"/>
          </w:tcPr>
          <w:p>
            <w:pPr>
              <w:spacing w:after="0"/>
              <w:rPr>
                <w:sz w:val="24"/>
                <w:szCs w:val="24"/>
                <w:color w:val="auto"/>
              </w:rPr>
            </w:pPr>
          </w:p>
        </w:tc>
        <w:tc>
          <w:tcPr>
            <w:tcW w:w="10740" w:type="dxa"/>
            <w:vAlign w:val="bottom"/>
            <w:gridSpan w:val="4"/>
          </w:tcPr>
          <w:p>
            <w:pPr>
              <w:ind w:left="60"/>
              <w:spacing w:after="0"/>
              <w:rPr>
                <w:sz w:val="20"/>
                <w:szCs w:val="20"/>
                <w:color w:val="auto"/>
              </w:rPr>
            </w:pPr>
            <w:r>
              <w:rPr>
                <w:rFonts w:ascii="Arial" w:cs="Arial" w:eastAsia="Arial" w:hAnsi="Arial"/>
                <w:sz w:val="17"/>
                <w:szCs w:val="17"/>
                <w:color w:val="auto"/>
              </w:rPr>
              <w:t>and irrevocably appoint ______________________________________________</w:t>
            </w:r>
          </w:p>
        </w:tc>
      </w:tr>
      <w:tr>
        <w:trPr>
          <w:trHeight w:val="198"/>
        </w:trPr>
        <w:tc>
          <w:tcPr>
            <w:tcW w:w="500" w:type="dxa"/>
            <w:vAlign w:val="bottom"/>
          </w:tcPr>
          <w:p>
            <w:pPr>
              <w:spacing w:after="0"/>
              <w:rPr>
                <w:sz w:val="17"/>
                <w:szCs w:val="17"/>
                <w:color w:val="auto"/>
              </w:rPr>
            </w:pPr>
          </w:p>
        </w:tc>
        <w:tc>
          <w:tcPr>
            <w:tcW w:w="10740" w:type="dxa"/>
            <w:vAlign w:val="bottom"/>
            <w:gridSpan w:val="4"/>
          </w:tcPr>
          <w:p>
            <w:pPr>
              <w:ind w:left="60"/>
              <w:spacing w:after="0"/>
              <w:rPr>
                <w:sz w:val="20"/>
                <w:szCs w:val="20"/>
                <w:color w:val="auto"/>
              </w:rPr>
            </w:pPr>
            <w:r>
              <w:rPr>
                <w:rFonts w:ascii="Arial" w:cs="Arial" w:eastAsia="Arial" w:hAnsi="Arial"/>
                <w:sz w:val="17"/>
                <w:szCs w:val="17"/>
                <w:color w:val="auto"/>
              </w:rPr>
              <w:t>agent to transfer this Security on the books of the Issuer. The agent may</w:t>
            </w:r>
          </w:p>
        </w:tc>
      </w:tr>
      <w:tr>
        <w:trPr>
          <w:trHeight w:val="209"/>
        </w:trPr>
        <w:tc>
          <w:tcPr>
            <w:tcW w:w="500" w:type="dxa"/>
            <w:vAlign w:val="bottom"/>
          </w:tcPr>
          <w:p>
            <w:pPr>
              <w:spacing w:after="0"/>
              <w:rPr>
                <w:sz w:val="18"/>
                <w:szCs w:val="18"/>
                <w:color w:val="auto"/>
              </w:rPr>
            </w:pPr>
          </w:p>
        </w:tc>
        <w:tc>
          <w:tcPr>
            <w:tcW w:w="10740" w:type="dxa"/>
            <w:vAlign w:val="bottom"/>
            <w:gridSpan w:val="4"/>
          </w:tcPr>
          <w:p>
            <w:pPr>
              <w:ind w:left="60"/>
              <w:spacing w:after="0"/>
              <w:rPr>
                <w:sz w:val="20"/>
                <w:szCs w:val="20"/>
                <w:color w:val="auto"/>
              </w:rPr>
            </w:pPr>
            <w:r>
              <w:rPr>
                <w:rFonts w:ascii="Arial" w:cs="Arial" w:eastAsia="Arial" w:hAnsi="Arial"/>
                <w:sz w:val="17"/>
                <w:szCs w:val="17"/>
                <w:color w:val="auto"/>
              </w:rPr>
              <w:t>substitute another to act for him.</w:t>
            </w:r>
          </w:p>
        </w:tc>
      </w:tr>
      <w:tr>
        <w:trPr>
          <w:trHeight w:val="397"/>
        </w:trPr>
        <w:tc>
          <w:tcPr>
            <w:tcW w:w="500" w:type="dxa"/>
            <w:vAlign w:val="bottom"/>
          </w:tcPr>
          <w:p>
            <w:pPr>
              <w:spacing w:after="0"/>
              <w:rPr>
                <w:sz w:val="20"/>
                <w:szCs w:val="20"/>
                <w:color w:val="auto"/>
              </w:rPr>
            </w:pPr>
            <w:r>
              <w:rPr>
                <w:rFonts w:ascii="Arial" w:cs="Arial" w:eastAsia="Arial" w:hAnsi="Arial"/>
                <w:sz w:val="17"/>
                <w:szCs w:val="17"/>
                <w:color w:val="auto"/>
                <w:w w:val="95"/>
              </w:rPr>
              <w:t>Dated:</w:t>
            </w:r>
          </w:p>
        </w:tc>
        <w:tc>
          <w:tcPr>
            <w:tcW w:w="4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080" w:type="dxa"/>
            <w:vAlign w:val="bottom"/>
            <w:gridSpan w:val="2"/>
          </w:tcPr>
          <w:p>
            <w:pPr>
              <w:ind w:left="440"/>
              <w:spacing w:after="0"/>
              <w:rPr>
                <w:sz w:val="20"/>
                <w:szCs w:val="20"/>
                <w:color w:val="auto"/>
              </w:rPr>
            </w:pPr>
            <w:r>
              <w:rPr>
                <w:rFonts w:ascii="Arial" w:cs="Arial" w:eastAsia="Arial" w:hAnsi="Arial"/>
                <w:sz w:val="17"/>
                <w:szCs w:val="17"/>
                <w:color w:val="auto"/>
              </w:rPr>
              <w:t>Signed:</w:t>
            </w:r>
          </w:p>
        </w:tc>
      </w:tr>
      <w:tr>
        <w:trPr>
          <w:trHeight w:val="180"/>
        </w:trPr>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60" w:type="dxa"/>
            <w:vAlign w:val="bottom"/>
            <w:tcBorders>
              <w:top w:val="single" w:sz="8" w:color="auto"/>
            </w:tcBorders>
          </w:tcPr>
          <w:p>
            <w:pPr>
              <w:spacing w:after="0"/>
              <w:rPr>
                <w:sz w:val="15"/>
                <w:szCs w:val="15"/>
                <w:color w:val="auto"/>
              </w:rPr>
            </w:pPr>
          </w:p>
        </w:tc>
        <w:tc>
          <w:tcPr>
            <w:tcW w:w="1340" w:type="dxa"/>
            <w:vAlign w:val="bottom"/>
          </w:tcPr>
          <w:p>
            <w:pPr>
              <w:spacing w:after="0"/>
              <w:rPr>
                <w:sz w:val="15"/>
                <w:szCs w:val="15"/>
                <w:color w:val="auto"/>
              </w:rPr>
            </w:pPr>
          </w:p>
        </w:tc>
        <w:tc>
          <w:tcPr>
            <w:tcW w:w="4740" w:type="dxa"/>
            <w:vAlign w:val="bottom"/>
            <w:tcBorders>
              <w:top w:val="single" w:sz="8" w:color="auto"/>
            </w:tcBorders>
          </w:tcPr>
          <w:p>
            <w:pPr>
              <w:spacing w:after="0" w:line="180" w:lineRule="exact"/>
              <w:rPr>
                <w:sz w:val="20"/>
                <w:szCs w:val="20"/>
                <w:color w:val="auto"/>
              </w:rPr>
            </w:pPr>
            <w:r>
              <w:rPr>
                <w:rFonts w:ascii="Arial" w:cs="Arial" w:eastAsia="Arial" w:hAnsi="Arial"/>
                <w:sz w:val="17"/>
                <w:szCs w:val="17"/>
                <w:color w:val="auto"/>
              </w:rPr>
              <w:t>(Signed exactly as name</w:t>
            </w:r>
          </w:p>
        </w:tc>
      </w:tr>
      <w:tr>
        <w:trPr>
          <w:trHeight w:val="198"/>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6080" w:type="dxa"/>
            <w:vAlign w:val="bottom"/>
            <w:gridSpan w:val="2"/>
          </w:tcPr>
          <w:p>
            <w:pPr>
              <w:ind w:left="1340"/>
              <w:spacing w:after="0"/>
              <w:rPr>
                <w:sz w:val="20"/>
                <w:szCs w:val="20"/>
                <w:color w:val="auto"/>
              </w:rPr>
            </w:pPr>
            <w:r>
              <w:rPr>
                <w:rFonts w:ascii="Arial" w:cs="Arial" w:eastAsia="Arial" w:hAnsi="Arial"/>
                <w:sz w:val="17"/>
                <w:szCs w:val="17"/>
                <w:color w:val="auto"/>
              </w:rPr>
              <w:t>appears on the other side of</w:t>
            </w:r>
          </w:p>
        </w:tc>
      </w:tr>
      <w:tr>
        <w:trPr>
          <w:trHeight w:val="209"/>
        </w:trPr>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6080" w:type="dxa"/>
            <w:vAlign w:val="bottom"/>
            <w:gridSpan w:val="2"/>
          </w:tcPr>
          <w:p>
            <w:pPr>
              <w:ind w:left="1340"/>
              <w:spacing w:after="0"/>
              <w:rPr>
                <w:sz w:val="20"/>
                <w:szCs w:val="20"/>
                <w:color w:val="auto"/>
              </w:rPr>
            </w:pPr>
            <w:r>
              <w:rPr>
                <w:rFonts w:ascii="Arial" w:cs="Arial" w:eastAsia="Arial" w:hAnsi="Arial"/>
                <w:sz w:val="17"/>
                <w:szCs w:val="17"/>
                <w:color w:val="auto"/>
              </w:rPr>
              <w:t>this Security)</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Signature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Guarantee:</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Participant in a recognized Signature Guarantee Medallion Program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-123190</wp:posOffset>
            </wp:positionV>
            <wp:extent cx="285115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5">
                      <a:extLst>
                        <a:ext uri="{28A0092B-C50C-407E-A947-70E740481C1C}"/>
                      </a:extLst>
                    </a:blip>
                    <a:srcRect/>
                    <a:stretch>
                      <a:fillRect/>
                    </a:stretch>
                  </pic:blipFill>
                  <pic:spPr bwMode="auto">
                    <a:xfrm>
                      <a:off x="0" y="0"/>
                      <a:ext cx="2851150" cy="762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7"/>
          <w:szCs w:val="17"/>
          <w:color w:val="auto"/>
        </w:rPr>
        <w:t>signature guarantor program reasonably acceptable to the Trustee)</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6">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7"/>
          <w:szCs w:val="17"/>
          <w:b w:val="1"/>
          <w:bCs w:val="1"/>
          <w:color w:val="auto"/>
        </w:rPr>
        <w:t>Exhibit 4.6</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Form of Subordinated Note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(FACE OF SECURITY)</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Each Global Security shall bear substantially the following legend:</w:t>
      </w:r>
    </w:p>
    <w:p>
      <w:pPr>
        <w:spacing w:after="0" w:line="201"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(“DTC”),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If the Security has original issue discount for U.S. federal income tax purposes, insert tax legend:</w:t>
      </w:r>
    </w:p>
    <w:p>
      <w:pPr>
        <w:spacing w:after="0" w:line="201" w:lineRule="exact"/>
        <w:rPr>
          <w:sz w:val="20"/>
          <w:szCs w:val="20"/>
          <w:color w:val="auto"/>
        </w:rPr>
      </w:pPr>
    </w:p>
    <w:p>
      <w:pPr>
        <w:ind w:right="200"/>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FOR PURPOSES OF SECTIONS 1272, 1273 AND 1275 OF THE INTERNAL REVENUE CODE OF 1986, AS AMENDED, AND THE RULES AND REGULATIONS</w:t>
      </w:r>
      <w:r>
        <w:rPr>
          <w:rFonts w:ascii="Arial" w:cs="Arial" w:eastAsia="Arial" w:hAnsi="Arial"/>
          <w:sz w:val="15"/>
          <w:szCs w:val="15"/>
          <w:color w:val="auto"/>
        </w:rPr>
        <w:t xml:space="preserve"> </w:t>
      </w:r>
      <w:r>
        <w:rPr>
          <w:rFonts w:ascii="Arial" w:cs="Arial" w:eastAsia="Arial" w:hAnsi="Arial"/>
          <w:sz w:val="15"/>
          <w:szCs w:val="15"/>
          <w:i w:val="1"/>
          <w:iCs w:val="1"/>
          <w:color w:val="auto"/>
        </w:rPr>
        <w:t>THEREUNDER, THIS NOTE IS BEING ISSUED WITH ORIGINAL ISSUE DISCOUNT; PLEASE CONTACT DAVID F. CARROLL, CHIEF FINANCIAL OFFICER, IVERIC BIO, INC., FIVE PENN PLAZA, SUITE 2372, NEW YORK, NEW YORK 10001, TELEPHONE: (212) 845-8200, TO OBTAIN INFORMATION REGARDING THE ISSUE PRICE, THE ISSUE DATE, THE AMOUNT OF ORIGINAL ISSUE DISCOUNT AND THE YIELD TO MATURITY.</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370840</wp:posOffset>
            </wp:positionV>
            <wp:extent cx="714375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7">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172" w:name="page173"/>
    <w:bookmarkEnd w:id="172"/>
    <w:p>
      <w:pPr>
        <w:ind w:left="4980"/>
        <w:spacing w:after="0"/>
        <w:rPr>
          <w:sz w:val="20"/>
          <w:szCs w:val="20"/>
          <w:color w:val="auto"/>
        </w:rPr>
      </w:pPr>
      <w:r>
        <w:rPr>
          <w:rFonts w:ascii="Arial" w:cs="Arial" w:eastAsia="Arial" w:hAnsi="Arial"/>
          <w:sz w:val="15"/>
          <w:szCs w:val="15"/>
          <w:color w:val="auto"/>
        </w:rPr>
        <w:t>IVERIC BIO, INC.</w:t>
      </w:r>
    </w:p>
    <w:p>
      <w:pPr>
        <w:spacing w:after="0" w:line="37" w:lineRule="exact"/>
        <w:rPr>
          <w:sz w:val="20"/>
          <w:szCs w:val="20"/>
          <w:color w:val="auto"/>
        </w:rPr>
      </w:pPr>
    </w:p>
    <w:p>
      <w:pPr>
        <w:ind w:left="4980"/>
        <w:spacing w:after="0"/>
        <w:rPr>
          <w:sz w:val="20"/>
          <w:szCs w:val="20"/>
          <w:color w:val="auto"/>
        </w:rPr>
      </w:pPr>
      <w:r>
        <w:rPr>
          <w:rFonts w:ascii="Arial" w:cs="Arial" w:eastAsia="Arial" w:hAnsi="Arial"/>
          <w:sz w:val="15"/>
          <w:szCs w:val="15"/>
          <w:color w:val="auto"/>
        </w:rPr>
        <w:t>[ Title of Security ]</w:t>
      </w:r>
    </w:p>
    <w:p>
      <w:pPr>
        <w:sectPr>
          <w:pgSz w:w="11900" w:h="16838" w:orient="portrait"/>
          <w:cols w:equalWidth="0" w:num="1">
            <w:col w:w="11240"/>
          </w:cols>
          <w:pgMar w:left="320" w:top="847" w:right="33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No. [</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15"/>
          <w:szCs w:val="15"/>
          <w:color w:val="auto"/>
        </w:rPr>
        <w:t>CUSIP No.:</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[Common Code][ISIN]:</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80"/>
        <w:spacing w:after="0"/>
        <w:rPr>
          <w:sz w:val="20"/>
          <w:szCs w:val="20"/>
          <w:color w:val="auto"/>
        </w:rPr>
      </w:pPr>
      <w:r>
        <w:rPr>
          <w:rFonts w:ascii="Arial" w:cs="Arial" w:eastAsia="Arial" w:hAnsi="Arial"/>
          <w:sz w:val="17"/>
          <w:szCs w:val="17"/>
          <w:color w:val="auto"/>
        </w:rPr>
        <w:t>[  ]</w:t>
      </w:r>
    </w:p>
    <w:p>
      <w:pPr>
        <w:spacing w:after="0" w:line="14" w:lineRule="exact"/>
        <w:rPr>
          <w:sz w:val="20"/>
          <w:szCs w:val="20"/>
          <w:color w:val="auto"/>
        </w:rPr>
      </w:pPr>
    </w:p>
    <w:p>
      <w:pPr>
        <w:ind w:left="40"/>
        <w:spacing w:after="0"/>
        <w:tabs>
          <w:tab w:leader="none" w:pos="240" w:val="left"/>
        </w:tabs>
        <w:rPr>
          <w:sz w:val="20"/>
          <w:szCs w:val="20"/>
          <w:color w:val="auto"/>
        </w:rPr>
      </w:pPr>
      <w:r>
        <w:rPr>
          <w:rFonts w:ascii="Arial" w:cs="Arial" w:eastAsia="Arial" w:hAnsi="Arial"/>
          <w:sz w:val="17"/>
          <w:szCs w:val="17"/>
          <w:color w:val="auto"/>
        </w:rPr>
        <w:t>[</w:t>
        <w:tab/>
        <w: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  ]</w:t>
      </w:r>
    </w:p>
    <w:p>
      <w:pPr>
        <w:spacing w:after="0" w:line="191" w:lineRule="exact"/>
        <w:rPr>
          <w:sz w:val="20"/>
          <w:szCs w:val="20"/>
          <w:color w:val="auto"/>
        </w:rPr>
      </w:pPr>
    </w:p>
    <w:p>
      <w:pPr>
        <w:sectPr>
          <w:pgSz w:w="11900" w:h="16838" w:orient="portrait"/>
          <w:cols w:equalWidth="0" w:num="4">
            <w:col w:w="340" w:space="120"/>
            <w:col w:w="8060" w:space="720"/>
            <w:col w:w="1680" w:space="0"/>
            <w:col w:w="320"/>
          </w:cols>
          <w:pgMar w:left="320" w:top="847" w:right="339" w:bottom="1440" w:gutter="0" w:footer="0" w:header="0"/>
          <w:type w:val="continuous"/>
        </w:sectPr>
      </w:pPr>
    </w:p>
    <w:p>
      <w:pPr>
        <w:ind w:right="40" w:firstLine="595"/>
        <w:spacing w:after="0" w:line="283" w:lineRule="auto"/>
        <w:rPr>
          <w:sz w:val="20"/>
          <w:szCs w:val="20"/>
          <w:color w:val="auto"/>
        </w:rPr>
      </w:pPr>
      <w:r>
        <w:rPr>
          <w:rFonts w:ascii="Arial" w:cs="Arial" w:eastAsia="Arial" w:hAnsi="Arial"/>
          <w:sz w:val="15"/>
          <w:szCs w:val="15"/>
          <w:color w:val="auto"/>
        </w:rPr>
        <w:t>IVERIC bio, Inc., a Delaware corporation (the “Issuer”, which term includes any successor corporation), for value received promises to pay to [</w:t>
      </w:r>
      <w:r>
        <w:rPr>
          <w:rFonts w:ascii="Arial" w:cs="Arial" w:eastAsia="Arial" w:hAnsi="Arial"/>
          <w:sz w:val="15"/>
          <w:szCs w:val="15"/>
          <w:i w:val="1"/>
          <w:iCs w:val="1"/>
          <w:color w:val="auto"/>
        </w:rPr>
        <w:t>If the Security is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 Global Security -- </w:t>
      </w:r>
      <w:r>
        <w:rPr>
          <w:rFonts w:ascii="Arial" w:cs="Arial" w:eastAsia="Arial" w:hAnsi="Arial"/>
          <w:sz w:val="15"/>
          <w:szCs w:val="15"/>
          <w:color w:val="auto"/>
        </w:rPr>
        <w:t>CEDE &amp; CO.][</w:t>
      </w:r>
      <w:r>
        <w:rPr>
          <w:rFonts w:ascii="Arial" w:cs="Arial" w:eastAsia="Arial" w:hAnsi="Arial"/>
          <w:sz w:val="15"/>
          <w:szCs w:val="15"/>
          <w:i w:val="1"/>
          <w:iCs w:val="1"/>
          <w:color w:val="auto"/>
        </w:rPr>
        <w:t>If the Security is not a Global Security -- __________</w:t>
      </w:r>
      <w:r>
        <w:rPr>
          <w:rFonts w:ascii="Arial" w:cs="Arial" w:eastAsia="Arial" w:hAnsi="Arial"/>
          <w:sz w:val="15"/>
          <w:szCs w:val="15"/>
          <w:color w:val="auto"/>
        </w:rPr>
        <w:t>] or registered assigns, the principal sum of __________ on __________,____</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(the “Maturity Date”) [</w:t>
      </w:r>
      <w:r>
        <w:rPr>
          <w:rFonts w:ascii="Arial" w:cs="Arial" w:eastAsia="Arial" w:hAnsi="Arial"/>
          <w:sz w:val="15"/>
          <w:szCs w:val="15"/>
          <w:i w:val="1"/>
          <w:iCs w:val="1"/>
          <w:color w:val="auto"/>
        </w:rPr>
        <w:t>If the Security is to bear interest prior to maturity, insert--</w:t>
      </w:r>
      <w:r>
        <w:rPr>
          <w:rFonts w:ascii="Arial" w:cs="Arial" w:eastAsia="Arial" w:hAnsi="Arial"/>
          <w:sz w:val="15"/>
          <w:szCs w:val="15"/>
          <w:color w:val="auto"/>
        </w:rPr>
        <w:t>, and to pay interest thereon from _____________ or from the most recent interest</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payment date to which interest has been paid or duly provided for, </w:t>
      </w:r>
      <w:r>
        <w:rPr>
          <w:rFonts w:ascii="Arial" w:cs="Arial" w:eastAsia="Arial" w:hAnsi="Arial"/>
          <w:sz w:val="15"/>
          <w:szCs w:val="15"/>
          <w:i w:val="1"/>
          <w:iCs w:val="1"/>
          <w:color w:val="auto"/>
        </w:rPr>
        <w:t>[semiannually in arrears on ______ and ______ in each year</w:t>
      </w:r>
      <w:r>
        <w:rPr>
          <w:rFonts w:ascii="Arial" w:cs="Arial" w:eastAsia="Arial" w:hAnsi="Arial"/>
          <w:sz w:val="15"/>
          <w:szCs w:val="15"/>
          <w:color w:val="auto"/>
        </w:rPr>
        <w:t>], commencing _________, ____ (each,</w:t>
      </w:r>
    </w:p>
    <w:p>
      <w:pPr>
        <w:spacing w:after="0" w:line="26" w:lineRule="exact"/>
        <w:rPr>
          <w:sz w:val="20"/>
          <w:szCs w:val="20"/>
          <w:color w:val="auto"/>
        </w:rPr>
      </w:pPr>
    </w:p>
    <w:p>
      <w:pPr>
        <w:ind w:right="60"/>
        <w:spacing w:after="0" w:line="295" w:lineRule="auto"/>
        <w:rPr>
          <w:sz w:val="20"/>
          <w:szCs w:val="20"/>
          <w:color w:val="auto"/>
        </w:rPr>
      </w:pPr>
      <w:r>
        <w:rPr>
          <w:rFonts w:ascii="Arial" w:cs="Arial" w:eastAsia="Arial" w:hAnsi="Arial"/>
          <w:sz w:val="14"/>
          <w:szCs w:val="14"/>
          <w:color w:val="auto"/>
        </w:rPr>
        <w:t>an “Interest Payment Date”) at the rate of [</w:t>
      </w:r>
      <w:r>
        <w:rPr>
          <w:rFonts w:ascii="Arial" w:cs="Arial" w:eastAsia="Arial" w:hAnsi="Arial"/>
          <w:sz w:val="14"/>
          <w:szCs w:val="14"/>
          <w:i w:val="1"/>
          <w:iCs w:val="1"/>
          <w:color w:val="auto"/>
        </w:rPr>
        <w:t>___% per annum</w:t>
      </w:r>
      <w:r>
        <w:rPr>
          <w:rFonts w:ascii="Arial" w:cs="Arial" w:eastAsia="Arial" w:hAnsi="Arial"/>
          <w:sz w:val="14"/>
          <w:szCs w:val="14"/>
          <w:color w:val="auto"/>
        </w:rPr>
        <w:t>], until the principal hereof is paid or made available for payment [</w:t>
      </w:r>
      <w:r>
        <w:rPr>
          <w:rFonts w:ascii="Arial" w:cs="Arial" w:eastAsia="Arial" w:hAnsi="Arial"/>
          <w:sz w:val="14"/>
          <w:szCs w:val="14"/>
          <w:i w:val="1"/>
          <w:iCs w:val="1"/>
          <w:color w:val="auto"/>
        </w:rPr>
        <w:t>If applicable insert--,</w:t>
      </w:r>
      <w:r>
        <w:rPr>
          <w:rFonts w:ascii="Arial" w:cs="Arial" w:eastAsia="Arial" w:hAnsi="Arial"/>
          <w:sz w:val="14"/>
          <w:szCs w:val="14"/>
          <w:color w:val="auto"/>
        </w:rPr>
        <w:t xml:space="preserve"> and (to the extent that the payment of such interest shall be legally enforceable) at the rate of ___% per annum on any overdue principal and on any overdue installment of interest]. The interest so payable, and punctually paid or duly provided for, on any Interest Payment Date will, as provided in the Indenture (as defined below), be paid to the Holder in whose name this Security (or one or more predecessor Securities) is registered at the close of business on the record date for such interest, which shall be the _______ or</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________ (whether or not a Business Day), as the case may be, next preceding such Interest Payment Date (each, an “Interest Record Date”). Interest will be computed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on the basis of [</w:t>
      </w:r>
      <w:r>
        <w:rPr>
          <w:rFonts w:ascii="Arial" w:cs="Arial" w:eastAsia="Arial" w:hAnsi="Arial"/>
          <w:sz w:val="17"/>
          <w:szCs w:val="17"/>
          <w:i w:val="1"/>
          <w:iCs w:val="1"/>
          <w:color w:val="auto"/>
        </w:rPr>
        <w:t>a 360-day year of twelve 30-day months</w:t>
      </w:r>
      <w:r>
        <w:rPr>
          <w:rFonts w:ascii="Arial" w:cs="Arial" w:eastAsia="Arial" w:hAnsi="Arial"/>
          <w:sz w:val="17"/>
          <w:szCs w:val="17"/>
          <w:color w:val="auto"/>
        </w:rPr>
        <w:t>].]</w:t>
      </w:r>
    </w:p>
    <w:p>
      <w:pPr>
        <w:spacing w:after="0" w:line="191" w:lineRule="exact"/>
        <w:rPr>
          <w:sz w:val="20"/>
          <w:szCs w:val="20"/>
          <w:color w:val="auto"/>
        </w:rPr>
      </w:pPr>
    </w:p>
    <w:p>
      <w:pPr>
        <w:ind w:firstLine="595"/>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If the Security is not to bear interest prior to maturity, insert--</w:t>
      </w:r>
      <w:r>
        <w:rPr>
          <w:rFonts w:ascii="Arial" w:cs="Arial" w:eastAsia="Arial" w:hAnsi="Arial"/>
          <w:sz w:val="15"/>
          <w:szCs w:val="15"/>
          <w:color w:val="auto"/>
        </w:rPr>
        <w:t>The principal of this Security shall not bear interest except in the case of a default in payment of principal upon acceleration, upon redemption or at maturity and, in each such case, the overdue principal of this Security shall bear interest at the rate of ___% per annum (to the extent that the payment of such interest shall be legally enforceable), which shall accrue from the date of such default in payment to the date payment of such principal has been made or duly provided for. Interest on any overdue principal shall be payable on demand.]</w:t>
      </w:r>
    </w:p>
    <w:p>
      <w:pPr>
        <w:spacing w:after="0" w:line="150" w:lineRule="exact"/>
        <w:rPr>
          <w:sz w:val="20"/>
          <w:szCs w:val="20"/>
          <w:color w:val="auto"/>
        </w:rPr>
      </w:pPr>
    </w:p>
    <w:p>
      <w:pPr>
        <w:ind w:right="260" w:firstLine="595"/>
        <w:spacing w:after="0" w:line="260" w:lineRule="auto"/>
        <w:rPr>
          <w:sz w:val="20"/>
          <w:szCs w:val="20"/>
          <w:color w:val="auto"/>
        </w:rPr>
      </w:pPr>
      <w:r>
        <w:rPr>
          <w:rFonts w:ascii="Arial" w:cs="Arial" w:eastAsia="Arial" w:hAnsi="Arial"/>
          <w:sz w:val="17"/>
          <w:szCs w:val="17"/>
          <w:color w:val="auto"/>
        </w:rPr>
        <w:t>Reference is made to the further provisions set forth on the reverse of this Security contained herein, which will for all purposes have the same effect as if set forth at this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384810</wp:posOffset>
            </wp:positionV>
            <wp:extent cx="714375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8">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type w:val="continuous"/>
        </w:sectPr>
      </w:pPr>
    </w:p>
    <w:bookmarkStart w:id="173" w:name="page174"/>
    <w:bookmarkEnd w:id="173"/>
    <w:p>
      <w:pPr>
        <w:ind w:left="600"/>
        <w:spacing w:after="0"/>
        <w:rPr>
          <w:sz w:val="20"/>
          <w:szCs w:val="20"/>
          <w:color w:val="auto"/>
        </w:rPr>
      </w:pPr>
      <w:r>
        <w:rPr>
          <w:rFonts w:ascii="Arial" w:cs="Arial" w:eastAsia="Arial" w:hAnsi="Arial"/>
          <w:sz w:val="15"/>
          <w:szCs w:val="15"/>
          <w:color w:val="auto"/>
        </w:rPr>
        <w:t>IN WITNESS WHEREOF, the Issuer has caused this Security to be signed manually or by facsimile by its duly authorized officer under its corporate seal.</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IVERIC BIO, INC.</w:t>
      </w:r>
    </w:p>
    <w:p>
      <w:pPr>
        <w:spacing w:after="0" w:line="20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-123190</wp:posOffset>
            </wp:positionV>
            <wp:extent cx="336296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9">
                      <a:extLst>
                        <a:ext uri="{28A0092B-C50C-407E-A947-70E740481C1C}"/>
                      </a:extLst>
                    </a:blip>
                    <a:srcRect/>
                    <a:stretch>
                      <a:fillRect/>
                    </a:stretch>
                  </pic:blipFill>
                  <pic:spPr bwMode="auto">
                    <a:xfrm>
                      <a:off x="0" y="0"/>
                      <a:ext cx="3362960" cy="7620"/>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4063365</wp:posOffset>
            </wp:positionH>
            <wp:positionV relativeFrom="paragraph">
              <wp:posOffset>-123190</wp:posOffset>
            </wp:positionV>
            <wp:extent cx="307975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0">
                      <a:extLst>
                        <a:ext uri="{28A0092B-C50C-407E-A947-70E740481C1C}"/>
                      </a:extLst>
                    </a:blip>
                    <a:srcRect/>
                    <a:stretch>
                      <a:fillRect/>
                    </a:stretch>
                  </pic:blipFill>
                  <pic:spPr bwMode="auto">
                    <a:xfrm>
                      <a:off x="0" y="0"/>
                      <a:ext cx="3079750" cy="7620"/>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9525</wp:posOffset>
            </wp:positionV>
            <wp:extent cx="307975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1">
                      <a:extLst>
                        <a:ext uri="{28A0092B-C50C-407E-A947-70E740481C1C}"/>
                      </a:extLst>
                    </a:blip>
                    <a:srcRect/>
                    <a:stretch>
                      <a:fillRect/>
                    </a:stretch>
                  </pic:blipFill>
                  <pic:spPr bwMode="auto">
                    <a:xfrm>
                      <a:off x="0" y="0"/>
                      <a:ext cx="3079750" cy="7620"/>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Attest:</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-123190</wp:posOffset>
            </wp:positionV>
            <wp:extent cx="332359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2">
                      <a:extLst>
                        <a:ext uri="{28A0092B-C50C-407E-A947-70E740481C1C}"/>
                      </a:extLst>
                    </a:blip>
                    <a:srcRect/>
                    <a:stretch>
                      <a:fillRect/>
                    </a:stretch>
                  </pic:blipFill>
                  <pic:spPr bwMode="auto">
                    <a:xfrm>
                      <a:off x="0" y="0"/>
                      <a:ext cx="3323590" cy="76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-123190</wp:posOffset>
            </wp:positionV>
            <wp:extent cx="332359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3">
                      <a:extLst>
                        <a:ext uri="{28A0092B-C50C-407E-A947-70E740481C1C}"/>
                      </a:extLst>
                    </a:blip>
                    <a:srcRect/>
                    <a:stretch>
                      <a:fillRect/>
                    </a:stretch>
                  </pic:blipFill>
                  <pic:spPr bwMode="auto">
                    <a:xfrm>
                      <a:off x="0" y="0"/>
                      <a:ext cx="3323590" cy="762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9525</wp:posOffset>
            </wp:positionV>
            <wp:extent cx="332359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4">
                      <a:extLst>
                        <a:ext uri="{28A0092B-C50C-407E-A947-70E740481C1C}"/>
                      </a:extLst>
                    </a:blip>
                    <a:srcRect/>
                    <a:stretch>
                      <a:fillRect/>
                    </a:stretch>
                  </pic:blipFill>
                  <pic:spPr bwMode="auto">
                    <a:xfrm>
                      <a:off x="0" y="0"/>
                      <a:ext cx="3323590" cy="7620"/>
                    </a:xfrm>
                    <a:prstGeom prst="rect">
                      <a:avLst/>
                    </a:prstGeom>
                    <a:noFill/>
                  </pic:spPr>
                </pic:pic>
              </a:graphicData>
            </a:graphic>
          </wp:anchor>
        </w:drawing>
      </w:r>
    </w:p>
    <w:p>
      <w:pPr>
        <w:spacing w:after="0" w:line="19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This is one of the Securities of the series designated herein and referred to in the within-mentioned Indenture.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Dated: [  ]</w:t>
      </w:r>
    </w:p>
    <w:p>
      <w:pPr>
        <w:spacing w:after="0" w:line="201" w:lineRule="exact"/>
        <w:rPr>
          <w:sz w:val="20"/>
          <w:szCs w:val="20"/>
          <w:color w:val="auto"/>
        </w:rPr>
      </w:pPr>
    </w:p>
    <w:p>
      <w:pPr>
        <w:ind w:left="3580"/>
        <w:spacing w:after="0"/>
        <w:rPr>
          <w:sz w:val="20"/>
          <w:szCs w:val="20"/>
          <w:color w:val="auto"/>
        </w:rPr>
      </w:pPr>
      <w:r>
        <w:rPr>
          <w:rFonts w:ascii="Arial" w:cs="Arial" w:eastAsia="Arial" w:hAnsi="Arial"/>
          <w:sz w:val="17"/>
          <w:szCs w:val="17"/>
          <w:color w:val="auto"/>
        </w:rPr>
        <w:t>____________, as Trustee</w:t>
      </w:r>
    </w:p>
    <w:p>
      <w:pPr>
        <w:spacing w:after="0" w:line="20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-123190</wp:posOffset>
            </wp:positionV>
            <wp:extent cx="336296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5">
                      <a:extLst>
                        <a:ext uri="{28A0092B-C50C-407E-A947-70E740481C1C}"/>
                      </a:extLst>
                    </a:blip>
                    <a:srcRect/>
                    <a:stretch>
                      <a:fillRect/>
                    </a:stretch>
                  </pic:blipFill>
                  <pic:spPr bwMode="auto">
                    <a:xfrm>
                      <a:off x="0" y="0"/>
                      <a:ext cx="3362960" cy="762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9525</wp:posOffset>
            </wp:positionV>
            <wp:extent cx="313436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6">
                      <a:extLst>
                        <a:ext uri="{28A0092B-C50C-407E-A947-70E740481C1C}"/>
                      </a:extLst>
                    </a:blip>
                    <a:srcRect/>
                    <a:stretch>
                      <a:fillRect/>
                    </a:stretch>
                  </pic:blipFill>
                  <pic:spPr bwMode="auto">
                    <a:xfrm>
                      <a:off x="0" y="0"/>
                      <a:ext cx="31343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411480</wp:posOffset>
            </wp:positionV>
            <wp:extent cx="714375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7">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0800"/>
          </w:cols>
          <w:pgMar w:left="320" w:top="846" w:right="779" w:bottom="1440" w:gutter="0" w:footer="0" w:header="0"/>
        </w:sectPr>
      </w:pPr>
    </w:p>
    <w:bookmarkStart w:id="174" w:name="page175"/>
    <w:bookmarkEnd w:id="174"/>
    <w:p>
      <w:pPr>
        <w:jc w:val="center"/>
        <w:ind w:right="-60"/>
        <w:spacing w:after="0"/>
        <w:rPr>
          <w:sz w:val="20"/>
          <w:szCs w:val="20"/>
          <w:color w:val="auto"/>
        </w:rPr>
      </w:pPr>
      <w:r>
        <w:rPr>
          <w:rFonts w:ascii="Arial" w:cs="Arial" w:eastAsia="Arial" w:hAnsi="Arial"/>
          <w:sz w:val="17"/>
          <w:szCs w:val="17"/>
          <w:b w:val="1"/>
          <w:bCs w:val="1"/>
          <w:color w:val="auto"/>
        </w:rPr>
        <w:t>(REVERSE OF SECURITY)</w:t>
      </w:r>
    </w:p>
    <w:p>
      <w:pPr>
        <w:spacing w:after="0" w:line="201"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IVERIC BIO, INC.</w:t>
      </w:r>
    </w:p>
    <w:p>
      <w:pPr>
        <w:spacing w:after="0" w:line="201"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 Title of Security ]</w:t>
      </w:r>
    </w:p>
    <w:p>
      <w:pPr>
        <w:spacing w:after="0" w:line="205" w:lineRule="exact"/>
        <w:rPr>
          <w:sz w:val="20"/>
          <w:szCs w:val="20"/>
          <w:color w:val="auto"/>
        </w:rPr>
      </w:pPr>
    </w:p>
    <w:p>
      <w:pPr>
        <w:ind w:left="301" w:hanging="301"/>
        <w:spacing w:after="0"/>
        <w:tabs>
          <w:tab w:leader="none" w:pos="301" w:val="left"/>
        </w:tabs>
        <w:numPr>
          <w:ilvl w:val="0"/>
          <w:numId w:val="114"/>
        </w:numPr>
        <w:rPr>
          <w:rFonts w:ascii="Arial" w:cs="Arial" w:eastAsia="Arial" w:hAnsi="Arial"/>
          <w:sz w:val="17"/>
          <w:szCs w:val="17"/>
          <w:color w:val="auto"/>
        </w:rPr>
      </w:pPr>
      <w:r>
        <w:rPr>
          <w:rFonts w:ascii="Arial" w:cs="Arial" w:eastAsia="Arial" w:hAnsi="Arial"/>
          <w:sz w:val="17"/>
          <w:szCs w:val="17"/>
          <w:color w:val="auto"/>
        </w:rPr>
        <w:t>Indenture</w:t>
      </w:r>
    </w:p>
    <w:p>
      <w:pPr>
        <w:spacing w:after="0" w:line="201" w:lineRule="exact"/>
        <w:rPr>
          <w:sz w:val="20"/>
          <w:szCs w:val="20"/>
          <w:color w:val="auto"/>
        </w:rPr>
      </w:pPr>
    </w:p>
    <w:p>
      <w:pPr>
        <w:ind w:left="1" w:right="220" w:firstLine="595"/>
        <w:spacing w:after="0" w:line="303" w:lineRule="auto"/>
        <w:rPr>
          <w:sz w:val="20"/>
          <w:szCs w:val="20"/>
          <w:color w:val="auto"/>
        </w:rPr>
      </w:pPr>
      <w:r>
        <w:rPr>
          <w:rFonts w:ascii="Arial" w:cs="Arial" w:eastAsia="Arial" w:hAnsi="Arial"/>
          <w:sz w:val="14"/>
          <w:szCs w:val="14"/>
          <w:color w:val="auto"/>
        </w:rPr>
        <w:t>This Security is one of a duly authorized issue of debentures, notes or other evidence of indebtedness (hereinafter called the “Securities”) of the Issuer of the series hereinafter specified, which series is initially limited in aggregate principal amount to [</w:t>
      </w:r>
      <w:r>
        <w:rPr>
          <w:rFonts w:ascii="Arial" w:cs="Arial" w:eastAsia="Arial" w:hAnsi="Arial"/>
          <w:sz w:val="14"/>
          <w:szCs w:val="14"/>
          <w:i w:val="1"/>
          <w:iCs w:val="1"/>
          <w:color w:val="auto"/>
        </w:rPr>
        <w:t>$</w:t>
      </w:r>
      <w:r>
        <w:rPr>
          <w:rFonts w:ascii="Arial" w:cs="Arial" w:eastAsia="Arial" w:hAnsi="Arial"/>
          <w:sz w:val="14"/>
          <w:szCs w:val="14"/>
          <w:color w:val="auto"/>
        </w:rPr>
        <w:t>]____________, all of such Securities issued and to be issued under an</w:t>
      </w:r>
    </w:p>
    <w:p>
      <w:pPr>
        <w:spacing w:after="0" w:line="1" w:lineRule="exact"/>
        <w:rPr>
          <w:sz w:val="20"/>
          <w:szCs w:val="20"/>
          <w:color w:val="auto"/>
        </w:rPr>
      </w:pPr>
    </w:p>
    <w:p>
      <w:pPr>
        <w:ind w:left="1"/>
        <w:spacing w:after="0"/>
        <w:rPr>
          <w:sz w:val="20"/>
          <w:szCs w:val="20"/>
          <w:color w:val="auto"/>
        </w:rPr>
      </w:pPr>
      <w:r>
        <w:rPr>
          <w:rFonts w:ascii="Arial" w:cs="Arial" w:eastAsia="Arial" w:hAnsi="Arial"/>
          <w:sz w:val="14"/>
          <w:szCs w:val="14"/>
          <w:color w:val="auto"/>
        </w:rPr>
        <w:t>Indenture dated as of ________, _____ (the “Indenture”) between the Issuer and __________________________ as trustee (the “Trustee”). Capitalized terms herein are</w:t>
      </w:r>
    </w:p>
    <w:p>
      <w:pPr>
        <w:spacing w:after="0" w:line="37" w:lineRule="exact"/>
        <w:rPr>
          <w:sz w:val="20"/>
          <w:szCs w:val="20"/>
          <w:color w:val="auto"/>
        </w:rPr>
      </w:pPr>
    </w:p>
    <w:p>
      <w:pPr>
        <w:ind w:left="1" w:right="40"/>
        <w:spacing w:after="0" w:line="244" w:lineRule="auto"/>
        <w:rPr>
          <w:sz w:val="20"/>
          <w:szCs w:val="20"/>
          <w:color w:val="auto"/>
        </w:rPr>
      </w:pPr>
      <w:r>
        <w:rPr>
          <w:rFonts w:ascii="Arial" w:cs="Arial" w:eastAsia="Arial" w:hAnsi="Arial"/>
          <w:sz w:val="17"/>
          <w:szCs w:val="17"/>
          <w:color w:val="auto"/>
        </w:rPr>
        <w:t>used as defined in the Indenture unless otherwise indicated. The terms of the Securities include those stated in the Indenture and those made part of the Indenture by reference to the Trust Indenture Act of 1939, as in effect on the date of the Indenture. The Securities are subject to all such terms, and Holders are referred to the Indenture and the Trust Indenture Act for a statement of all such terms. To the extent permitted by applicable law, in the event of any inconsistency between the terms of this Security and the terms of the Indenture, the terms of the Indenture shall control.</w:t>
      </w:r>
    </w:p>
    <w:p>
      <w:pPr>
        <w:spacing w:after="0" w:line="186" w:lineRule="exact"/>
        <w:rPr>
          <w:sz w:val="20"/>
          <w:szCs w:val="20"/>
          <w:color w:val="auto"/>
        </w:rPr>
      </w:pPr>
    </w:p>
    <w:p>
      <w:pPr>
        <w:ind w:left="601"/>
        <w:spacing w:after="0"/>
        <w:rPr>
          <w:sz w:val="20"/>
          <w:szCs w:val="20"/>
          <w:color w:val="auto"/>
        </w:rPr>
      </w:pPr>
      <w:r>
        <w:rPr>
          <w:rFonts w:ascii="Arial" w:cs="Arial" w:eastAsia="Arial" w:hAnsi="Arial"/>
          <w:sz w:val="15"/>
          <w:szCs w:val="15"/>
          <w:color w:val="auto"/>
        </w:rPr>
        <w:t>This Security is one of a series of Securities designated pursuant to the Indenture [and a [</w:t>
      </w:r>
      <w:r>
        <w:rPr>
          <w:rFonts w:ascii="Arial" w:cs="Arial" w:eastAsia="Arial" w:hAnsi="Arial"/>
          <w:sz w:val="15"/>
          <w:szCs w:val="15"/>
          <w:i w:val="1"/>
          <w:iCs w:val="1"/>
          <w:color w:val="auto"/>
        </w:rPr>
        <w:t>Supplemental Indenture</w:t>
      </w:r>
      <w:r>
        <w:rPr>
          <w:rFonts w:ascii="Arial" w:cs="Arial" w:eastAsia="Arial" w:hAnsi="Arial"/>
          <w:sz w:val="15"/>
          <w:szCs w:val="15"/>
          <w:color w:val="auto"/>
        </w:rPr>
        <w:t>] dated _____, _____, issued pursuant to</w:t>
      </w:r>
    </w:p>
    <w:p>
      <w:pPr>
        <w:spacing w:after="0" w:line="37" w:lineRule="exact"/>
        <w:rPr>
          <w:sz w:val="20"/>
          <w:szCs w:val="20"/>
          <w:color w:val="auto"/>
        </w:rPr>
      </w:pPr>
    </w:p>
    <w:p>
      <w:pPr>
        <w:ind w:left="1"/>
        <w:spacing w:after="0"/>
        <w:rPr>
          <w:sz w:val="20"/>
          <w:szCs w:val="20"/>
          <w:color w:val="auto"/>
        </w:rPr>
      </w:pPr>
      <w:r>
        <w:rPr>
          <w:rFonts w:ascii="Arial" w:cs="Arial" w:eastAsia="Arial" w:hAnsi="Arial"/>
          <w:sz w:val="14"/>
          <w:szCs w:val="14"/>
          <w:color w:val="auto"/>
        </w:rPr>
        <w:t>Section 2.01 and Section 2.03 thereof (the “Supplemental Indenture”)] as ________________. The Securities are general unsecured obligations of the Issuer. The Issuer</w:t>
      </w:r>
    </w:p>
    <w:p>
      <w:pPr>
        <w:spacing w:after="0" w:line="37" w:lineRule="exact"/>
        <w:rPr>
          <w:sz w:val="20"/>
          <w:szCs w:val="20"/>
          <w:color w:val="auto"/>
        </w:rPr>
      </w:pPr>
    </w:p>
    <w:p>
      <w:pPr>
        <w:ind w:left="1"/>
        <w:spacing w:after="0"/>
        <w:rPr>
          <w:sz w:val="20"/>
          <w:szCs w:val="20"/>
          <w:color w:val="auto"/>
        </w:rPr>
      </w:pPr>
      <w:r>
        <w:rPr>
          <w:rFonts w:ascii="Arial" w:cs="Arial" w:eastAsia="Arial" w:hAnsi="Arial"/>
          <w:sz w:val="17"/>
          <w:szCs w:val="17"/>
          <w:color w:val="auto"/>
        </w:rPr>
        <w:t>may, subject to the provisions of the Indenture and applicable law, issue additional Securities of any series under the Indenture.</w:t>
      </w:r>
    </w:p>
    <w:p>
      <w:pPr>
        <w:spacing w:after="0" w:line="191" w:lineRule="exact"/>
        <w:rPr>
          <w:sz w:val="20"/>
          <w:szCs w:val="20"/>
          <w:color w:val="auto"/>
        </w:rPr>
      </w:pPr>
    </w:p>
    <w:p>
      <w:pPr>
        <w:ind w:left="301" w:hanging="301"/>
        <w:spacing w:after="0"/>
        <w:tabs>
          <w:tab w:leader="none" w:pos="301" w:val="left"/>
        </w:tabs>
        <w:numPr>
          <w:ilvl w:val="0"/>
          <w:numId w:val="115"/>
        </w:numPr>
        <w:rPr>
          <w:rFonts w:ascii="Arial" w:cs="Arial" w:eastAsia="Arial" w:hAnsi="Arial"/>
          <w:sz w:val="17"/>
          <w:szCs w:val="17"/>
          <w:color w:val="auto"/>
        </w:rPr>
      </w:pPr>
      <w:r>
        <w:rPr>
          <w:rFonts w:ascii="Arial" w:cs="Arial" w:eastAsia="Arial" w:hAnsi="Arial"/>
          <w:sz w:val="17"/>
          <w:szCs w:val="17"/>
          <w:color w:val="auto"/>
        </w:rPr>
        <w:t>Method of Payment.</w:t>
      </w:r>
    </w:p>
    <w:p>
      <w:pPr>
        <w:spacing w:after="0" w:line="201" w:lineRule="exact"/>
        <w:rPr>
          <w:sz w:val="20"/>
          <w:szCs w:val="20"/>
          <w:color w:val="auto"/>
        </w:rPr>
      </w:pPr>
    </w:p>
    <w:p>
      <w:pPr>
        <w:ind w:left="1" w:right="60" w:firstLine="595"/>
        <w:spacing w:after="0" w:line="298" w:lineRule="auto"/>
        <w:rPr>
          <w:sz w:val="20"/>
          <w:szCs w:val="20"/>
          <w:color w:val="auto"/>
        </w:rPr>
      </w:pPr>
      <w:r>
        <w:rPr>
          <w:rFonts w:ascii="Arial" w:cs="Arial" w:eastAsia="Arial" w:hAnsi="Arial"/>
          <w:sz w:val="14"/>
          <w:szCs w:val="14"/>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Trustee to collect principal payments. The Issuer shall pay Principal and interest in money of [</w:t>
      </w:r>
      <w:r>
        <w:rPr>
          <w:rFonts w:ascii="Arial" w:cs="Arial" w:eastAsia="Arial" w:hAnsi="Arial"/>
          <w:sz w:val="14"/>
          <w:szCs w:val="14"/>
          <w:i w:val="1"/>
          <w:iCs w:val="1"/>
          <w:color w:val="auto"/>
        </w:rPr>
        <w:t>the United States</w:t>
      </w:r>
      <w:r>
        <w:rPr>
          <w:rFonts w:ascii="Arial" w:cs="Arial" w:eastAsia="Arial" w:hAnsi="Arial"/>
          <w:sz w:val="14"/>
          <w:szCs w:val="14"/>
          <w:color w:val="auto"/>
        </w:rPr>
        <w:t>] that at the time of payment is legal tender for payment of public and private debts. [However, the payments of interest, and any portion of the Principal (other than interest payable at maturity or on any redemption or repayment date or the final payment of Principal) shall be made by the Paying Agent, upon receipt from the Issuer of immediately available funds by __________ [</w:t>
      </w:r>
      <w:r>
        <w:rPr>
          <w:rFonts w:ascii="Arial" w:cs="Arial" w:eastAsia="Arial" w:hAnsi="Arial"/>
          <w:sz w:val="14"/>
          <w:szCs w:val="14"/>
          <w:i w:val="1"/>
          <w:iCs w:val="1"/>
          <w:color w:val="auto"/>
        </w:rPr>
        <w:t>a./p.m.</w:t>
      </w:r>
      <w:r>
        <w:rPr>
          <w:rFonts w:ascii="Arial" w:cs="Arial" w:eastAsia="Arial" w:hAnsi="Arial"/>
          <w:sz w:val="14"/>
          <w:szCs w:val="14"/>
          <w:color w:val="auto"/>
        </w:rPr>
        <w:t>], New York City time (or such other time as may be agreed to between the Issuer and the</w:t>
      </w:r>
    </w:p>
    <w:p>
      <w:pPr>
        <w:spacing w:after="0" w:line="2" w:lineRule="exact"/>
        <w:rPr>
          <w:sz w:val="20"/>
          <w:szCs w:val="20"/>
          <w:color w:val="auto"/>
        </w:rPr>
      </w:pPr>
    </w:p>
    <w:p>
      <w:pPr>
        <w:ind w:left="1"/>
        <w:spacing w:after="0" w:line="244" w:lineRule="auto"/>
        <w:rPr>
          <w:sz w:val="20"/>
          <w:szCs w:val="20"/>
          <w:color w:val="auto"/>
        </w:rPr>
      </w:pPr>
      <w:r>
        <w:rPr>
          <w:rFonts w:ascii="Arial" w:cs="Arial" w:eastAsia="Arial" w:hAnsi="Arial"/>
          <w:sz w:val="17"/>
          <w:szCs w:val="17"/>
          <w:color w:val="auto"/>
        </w:rPr>
        <w:t>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394335</wp:posOffset>
            </wp:positionV>
            <wp:extent cx="714375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8">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181"/>
          </w:cols>
          <w:pgMar w:left="319" w:top="842" w:right="399" w:bottom="1440" w:gutter="0" w:footer="0" w:header="0"/>
        </w:sectPr>
      </w:pPr>
    </w:p>
    <w:bookmarkStart w:id="175" w:name="page176"/>
    <w:bookmarkEnd w:id="175"/>
    <w:p>
      <w:pPr>
        <w:ind w:left="301" w:hanging="301"/>
        <w:spacing w:after="0"/>
        <w:tabs>
          <w:tab w:leader="none" w:pos="301" w:val="left"/>
        </w:tabs>
        <w:numPr>
          <w:ilvl w:val="0"/>
          <w:numId w:val="116"/>
        </w:numPr>
        <w:rPr>
          <w:rFonts w:ascii="Arial" w:cs="Arial" w:eastAsia="Arial" w:hAnsi="Arial"/>
          <w:sz w:val="17"/>
          <w:szCs w:val="17"/>
          <w:color w:val="auto"/>
        </w:rPr>
      </w:pPr>
      <w:r>
        <w:rPr>
          <w:rFonts w:ascii="Arial" w:cs="Arial" w:eastAsia="Arial" w:hAnsi="Arial"/>
          <w:sz w:val="17"/>
          <w:szCs w:val="17"/>
          <w:color w:val="auto"/>
        </w:rPr>
        <w:t>Redemption.</w:t>
      </w:r>
    </w:p>
    <w:p>
      <w:pPr>
        <w:spacing w:after="0" w:line="201" w:lineRule="exact"/>
        <w:rPr>
          <w:sz w:val="20"/>
          <w:szCs w:val="20"/>
          <w:color w:val="auto"/>
        </w:rPr>
      </w:pPr>
    </w:p>
    <w:p>
      <w:pPr>
        <w:ind w:left="601"/>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The Securities of this series may be redeemed at any time</w:t>
      </w:r>
      <w:r>
        <w:rPr>
          <w:rFonts w:ascii="Arial" w:cs="Arial" w:eastAsia="Arial" w:hAnsi="Arial"/>
          <w:sz w:val="15"/>
          <w:szCs w:val="15"/>
          <w:color w:val="auto"/>
        </w:rPr>
        <w:t xml:space="preserve"> [</w:t>
      </w:r>
      <w:r>
        <w:rPr>
          <w:rFonts w:ascii="Arial" w:cs="Arial" w:eastAsia="Arial" w:hAnsi="Arial"/>
          <w:sz w:val="15"/>
          <w:szCs w:val="15"/>
          <w:i w:val="1"/>
          <w:iCs w:val="1"/>
          <w:color w:val="auto"/>
        </w:rPr>
        <w:t>on or after ______, ______</w:t>
      </w:r>
      <w:r>
        <w:rPr>
          <w:rFonts w:ascii="Arial" w:cs="Arial" w:eastAsia="Arial" w:hAnsi="Arial"/>
          <w:sz w:val="15"/>
          <w:szCs w:val="15"/>
          <w:color w:val="auto"/>
        </w:rPr>
        <w:t>]</w:t>
      </w:r>
      <w:r>
        <w:rPr>
          <w:rFonts w:ascii="Arial" w:cs="Arial" w:eastAsia="Arial" w:hAnsi="Arial"/>
          <w:sz w:val="15"/>
          <w:szCs w:val="15"/>
          <w:i w:val="1"/>
          <w:iCs w:val="1"/>
          <w:color w:val="auto"/>
        </w:rPr>
        <w:t>, as a whole or in part, at the option of the Issuer, upon mailing notice of</w:t>
      </w:r>
    </w:p>
    <w:p>
      <w:pPr>
        <w:spacing w:after="0" w:line="37"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such redemption not less than 10 and not more than 60 days to the Holders of such Securities, at a redemption price equal to ___________</w:t>
      </w:r>
      <w:r>
        <w:rPr>
          <w:rFonts w:ascii="Arial" w:cs="Arial" w:eastAsia="Arial" w:hAnsi="Arial"/>
          <w:sz w:val="17"/>
          <w:szCs w:val="17"/>
          <w:color w:val="auto"/>
        </w:rPr>
        <w:t>.]</w:t>
      </w:r>
    </w:p>
    <w:p>
      <w:pPr>
        <w:spacing w:after="0" w:line="191" w:lineRule="exact"/>
        <w:rPr>
          <w:sz w:val="20"/>
          <w:szCs w:val="20"/>
          <w:color w:val="auto"/>
        </w:rPr>
      </w:pPr>
    </w:p>
    <w:p>
      <w:pPr>
        <w:ind w:left="301" w:hanging="301"/>
        <w:spacing w:after="0"/>
        <w:tabs>
          <w:tab w:leader="none" w:pos="301" w:val="left"/>
        </w:tabs>
        <w:numPr>
          <w:ilvl w:val="0"/>
          <w:numId w:val="117"/>
        </w:numPr>
        <w:rPr>
          <w:rFonts w:ascii="Arial" w:cs="Arial" w:eastAsia="Arial" w:hAnsi="Arial"/>
          <w:sz w:val="17"/>
          <w:szCs w:val="17"/>
          <w:color w:val="auto"/>
        </w:rPr>
      </w:pPr>
      <w:r>
        <w:rPr>
          <w:rFonts w:ascii="Arial" w:cs="Arial" w:eastAsia="Arial" w:hAnsi="Arial"/>
          <w:sz w:val="17"/>
          <w:szCs w:val="17"/>
          <w:color w:val="auto"/>
        </w:rPr>
        <w:t>Paying Agent and Security Registrar</w:t>
      </w:r>
    </w:p>
    <w:p>
      <w:pPr>
        <w:spacing w:after="0" w:line="201" w:lineRule="exact"/>
        <w:rPr>
          <w:sz w:val="20"/>
          <w:szCs w:val="20"/>
          <w:color w:val="auto"/>
        </w:rPr>
      </w:pPr>
    </w:p>
    <w:p>
      <w:pPr>
        <w:ind w:left="601"/>
        <w:spacing w:after="0"/>
        <w:rPr>
          <w:sz w:val="20"/>
          <w:szCs w:val="20"/>
          <w:color w:val="auto"/>
        </w:rPr>
      </w:pPr>
      <w:r>
        <w:rPr>
          <w:rFonts w:ascii="Arial" w:cs="Arial" w:eastAsia="Arial" w:hAnsi="Arial"/>
          <w:sz w:val="15"/>
          <w:szCs w:val="15"/>
          <w:color w:val="auto"/>
        </w:rPr>
        <w:t>Initially, [the Trustee] will act as Paying Agent and Security Registrar. The Issuer may change any Paying Agent or Security Registrar without notice to the</w:t>
      </w:r>
    </w:p>
    <w:p>
      <w:pPr>
        <w:spacing w:after="0" w:line="37" w:lineRule="exact"/>
        <w:rPr>
          <w:sz w:val="20"/>
          <w:szCs w:val="20"/>
          <w:color w:val="auto"/>
        </w:rPr>
      </w:pPr>
    </w:p>
    <w:p>
      <w:pPr>
        <w:ind w:left="1"/>
        <w:spacing w:after="0"/>
        <w:rPr>
          <w:sz w:val="20"/>
          <w:szCs w:val="20"/>
          <w:color w:val="auto"/>
        </w:rPr>
      </w:pPr>
      <w:r>
        <w:rPr>
          <w:rFonts w:ascii="Arial" w:cs="Arial" w:eastAsia="Arial" w:hAnsi="Arial"/>
          <w:sz w:val="17"/>
          <w:szCs w:val="17"/>
          <w:color w:val="auto"/>
        </w:rPr>
        <w:t>Holders.</w:t>
      </w:r>
    </w:p>
    <w:p>
      <w:pPr>
        <w:spacing w:after="0" w:line="191" w:lineRule="exact"/>
        <w:rPr>
          <w:sz w:val="20"/>
          <w:szCs w:val="20"/>
          <w:color w:val="auto"/>
        </w:rPr>
      </w:pPr>
    </w:p>
    <w:p>
      <w:pPr>
        <w:ind w:left="301" w:hanging="301"/>
        <w:spacing w:after="0"/>
        <w:tabs>
          <w:tab w:leader="none" w:pos="301" w:val="left"/>
        </w:tabs>
        <w:numPr>
          <w:ilvl w:val="0"/>
          <w:numId w:val="118"/>
        </w:numPr>
        <w:rPr>
          <w:rFonts w:ascii="Arial" w:cs="Arial" w:eastAsia="Arial" w:hAnsi="Arial"/>
          <w:sz w:val="17"/>
          <w:szCs w:val="17"/>
          <w:color w:val="auto"/>
        </w:rPr>
      </w:pPr>
      <w:r>
        <w:rPr>
          <w:rFonts w:ascii="Arial" w:cs="Arial" w:eastAsia="Arial" w:hAnsi="Arial"/>
          <w:sz w:val="17"/>
          <w:szCs w:val="17"/>
          <w:color w:val="auto"/>
        </w:rPr>
        <w:t>Denominations; Transfer; Exchange.</w:t>
      </w:r>
    </w:p>
    <w:p>
      <w:pPr>
        <w:spacing w:after="0" w:line="201" w:lineRule="exact"/>
        <w:rPr>
          <w:sz w:val="20"/>
          <w:szCs w:val="20"/>
          <w:color w:val="auto"/>
        </w:rPr>
      </w:pPr>
    </w:p>
    <w:p>
      <w:pPr>
        <w:ind w:left="1" w:right="20" w:firstLine="595"/>
        <w:spacing w:after="0" w:line="313" w:lineRule="auto"/>
        <w:rPr>
          <w:sz w:val="20"/>
          <w:szCs w:val="20"/>
          <w:color w:val="auto"/>
        </w:rPr>
      </w:pPr>
      <w:r>
        <w:rPr>
          <w:rFonts w:ascii="Arial" w:cs="Arial" w:eastAsia="Arial" w:hAnsi="Arial"/>
          <w:sz w:val="14"/>
          <w:szCs w:val="14"/>
          <w:color w:val="auto"/>
        </w:rPr>
        <w:t>The Securities are in registered form, without coupons, in denominations of [</w:t>
      </w:r>
      <w:r>
        <w:rPr>
          <w:rFonts w:ascii="Arial" w:cs="Arial" w:eastAsia="Arial" w:hAnsi="Arial"/>
          <w:sz w:val="14"/>
          <w:szCs w:val="14"/>
          <w:i w:val="1"/>
          <w:iCs w:val="1"/>
          <w:color w:val="auto"/>
        </w:rPr>
        <w:t>$1,000</w:t>
      </w:r>
      <w:r>
        <w:rPr>
          <w:rFonts w:ascii="Arial" w:cs="Arial" w:eastAsia="Arial" w:hAnsi="Arial"/>
          <w:sz w:val="14"/>
          <w:szCs w:val="14"/>
          <w:color w:val="auto"/>
        </w:rPr>
        <w:t>] and multiples of [</w:t>
      </w:r>
      <w:r>
        <w:rPr>
          <w:rFonts w:ascii="Arial" w:cs="Arial" w:eastAsia="Arial" w:hAnsi="Arial"/>
          <w:sz w:val="14"/>
          <w:szCs w:val="14"/>
          <w:i w:val="1"/>
          <w:iCs w:val="1"/>
          <w:color w:val="auto"/>
        </w:rPr>
        <w:t>$1,000</w:t>
      </w:r>
      <w:r>
        <w:rPr>
          <w:rFonts w:ascii="Arial" w:cs="Arial" w:eastAsia="Arial" w:hAnsi="Arial"/>
          <w:sz w:val="14"/>
          <w:szCs w:val="14"/>
          <w:color w:val="auto"/>
        </w:rPr>
        <w:t>].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w:t>
      </w:r>
      <w:r>
        <w:rPr>
          <w:rFonts w:ascii="Arial" w:cs="Arial" w:eastAsia="Arial" w:hAnsi="Arial"/>
          <w:sz w:val="14"/>
          <w:szCs w:val="14"/>
          <w:i w:val="1"/>
          <w:iCs w:val="1"/>
          <w:color w:val="auto"/>
        </w:rPr>
        <w:t>The Issuer need not register the transfer</w:t>
      </w:r>
      <w:r>
        <w:rPr>
          <w:rFonts w:ascii="Arial" w:cs="Arial" w:eastAsia="Arial" w:hAnsi="Arial"/>
          <w:sz w:val="14"/>
          <w:szCs w:val="14"/>
          <w:color w:val="auto"/>
        </w:rPr>
        <w:t xml:space="preserve"> </w:t>
      </w:r>
      <w:r>
        <w:rPr>
          <w:rFonts w:ascii="Arial" w:cs="Arial" w:eastAsia="Arial" w:hAnsi="Arial"/>
          <w:sz w:val="14"/>
          <w:szCs w:val="14"/>
          <w:i w:val="1"/>
          <w:iCs w:val="1"/>
          <w:color w:val="auto"/>
        </w:rPr>
        <w:t>of or exchange (a) any Securities for a period of fifteen (15) days preceding the first notice that such Securities are to be redeemed, or (b) any Securities selected, called or being called for redemption in whole or in part, except, in the case of any Security to be redeemed in part, the portion thereof not to be so redeemed.</w:t>
      </w:r>
      <w:r>
        <w:rPr>
          <w:rFonts w:ascii="Arial" w:cs="Arial" w:eastAsia="Arial" w:hAnsi="Arial"/>
          <w:sz w:val="14"/>
          <w:szCs w:val="14"/>
          <w:color w:val="auto"/>
        </w:rPr>
        <w:t>]</w:t>
      </w:r>
    </w:p>
    <w:p>
      <w:pPr>
        <w:spacing w:after="0" w:line="141" w:lineRule="exact"/>
        <w:rPr>
          <w:sz w:val="20"/>
          <w:szCs w:val="20"/>
          <w:color w:val="auto"/>
        </w:rPr>
      </w:pPr>
    </w:p>
    <w:p>
      <w:pPr>
        <w:ind w:left="301" w:hanging="301"/>
        <w:spacing w:after="0"/>
        <w:tabs>
          <w:tab w:leader="none" w:pos="301" w:val="left"/>
        </w:tabs>
        <w:numPr>
          <w:ilvl w:val="0"/>
          <w:numId w:val="119"/>
        </w:numPr>
        <w:rPr>
          <w:rFonts w:ascii="Arial" w:cs="Arial" w:eastAsia="Arial" w:hAnsi="Arial"/>
          <w:sz w:val="17"/>
          <w:szCs w:val="17"/>
          <w:color w:val="auto"/>
        </w:rPr>
      </w:pPr>
      <w:r>
        <w:rPr>
          <w:rFonts w:ascii="Arial" w:cs="Arial" w:eastAsia="Arial" w:hAnsi="Arial"/>
          <w:sz w:val="17"/>
          <w:szCs w:val="17"/>
          <w:color w:val="auto"/>
        </w:rPr>
        <w:t>Persons Deemed Owners.</w:t>
      </w:r>
    </w:p>
    <w:p>
      <w:pPr>
        <w:spacing w:after="0" w:line="201" w:lineRule="exact"/>
        <w:rPr>
          <w:sz w:val="20"/>
          <w:szCs w:val="20"/>
          <w:color w:val="auto"/>
        </w:rPr>
      </w:pPr>
    </w:p>
    <w:p>
      <w:pPr>
        <w:ind w:left="601"/>
        <w:spacing w:after="0"/>
        <w:rPr>
          <w:sz w:val="20"/>
          <w:szCs w:val="20"/>
          <w:color w:val="auto"/>
        </w:rPr>
      </w:pPr>
      <w:r>
        <w:rPr>
          <w:rFonts w:ascii="Arial" w:cs="Arial" w:eastAsia="Arial" w:hAnsi="Arial"/>
          <w:sz w:val="17"/>
          <w:szCs w:val="17"/>
          <w:color w:val="auto"/>
        </w:rPr>
        <w:t>The registered Holder of a Security shall be treated as the owner of it for all purposes.</w:t>
      </w:r>
    </w:p>
    <w:p>
      <w:pPr>
        <w:spacing w:after="0" w:line="201" w:lineRule="exact"/>
        <w:rPr>
          <w:sz w:val="20"/>
          <w:szCs w:val="20"/>
          <w:color w:val="auto"/>
        </w:rPr>
      </w:pPr>
    </w:p>
    <w:p>
      <w:pPr>
        <w:ind w:left="301" w:hanging="301"/>
        <w:spacing w:after="0"/>
        <w:tabs>
          <w:tab w:leader="none" w:pos="301" w:val="left"/>
        </w:tabs>
        <w:numPr>
          <w:ilvl w:val="0"/>
          <w:numId w:val="120"/>
        </w:numPr>
        <w:rPr>
          <w:rFonts w:ascii="Arial" w:cs="Arial" w:eastAsia="Arial" w:hAnsi="Arial"/>
          <w:sz w:val="17"/>
          <w:szCs w:val="17"/>
          <w:color w:val="auto"/>
        </w:rPr>
      </w:pPr>
      <w:r>
        <w:rPr>
          <w:rFonts w:ascii="Arial" w:cs="Arial" w:eastAsia="Arial" w:hAnsi="Arial"/>
          <w:sz w:val="17"/>
          <w:szCs w:val="17"/>
          <w:color w:val="auto"/>
        </w:rPr>
        <w:t>Unclaimed Funds.</w:t>
      </w:r>
    </w:p>
    <w:p>
      <w:pPr>
        <w:spacing w:after="0" w:line="201" w:lineRule="exact"/>
        <w:rPr>
          <w:sz w:val="20"/>
          <w:szCs w:val="20"/>
          <w:color w:val="auto"/>
        </w:rPr>
      </w:pPr>
    </w:p>
    <w:p>
      <w:pPr>
        <w:ind w:left="1" w:right="120" w:firstLine="595"/>
        <w:spacing w:after="0" w:line="260" w:lineRule="auto"/>
        <w:rPr>
          <w:sz w:val="20"/>
          <w:szCs w:val="20"/>
          <w:color w:val="auto"/>
        </w:rPr>
      </w:pPr>
      <w:r>
        <w:rPr>
          <w:rFonts w:ascii="Arial" w:cs="Arial" w:eastAsia="Arial" w:hAnsi="Arial"/>
          <w:sz w:val="17"/>
          <w:szCs w:val="17"/>
          <w:color w:val="auto"/>
        </w:rPr>
        <w:t>If funds for the payment of principal or interest remain unclaimed for two years, the Trustee and the Paying Agent will repay the funds to the Issuer. After that, all liability of the Trustee and such Paying Agent with respect to such funds shall cease.</w:t>
      </w:r>
    </w:p>
    <w:p>
      <w:pPr>
        <w:spacing w:after="0" w:line="172" w:lineRule="exact"/>
        <w:rPr>
          <w:sz w:val="20"/>
          <w:szCs w:val="20"/>
          <w:color w:val="auto"/>
        </w:rPr>
      </w:pPr>
    </w:p>
    <w:p>
      <w:pPr>
        <w:ind w:left="301" w:hanging="301"/>
        <w:spacing w:after="0"/>
        <w:tabs>
          <w:tab w:leader="none" w:pos="301" w:val="left"/>
        </w:tabs>
        <w:numPr>
          <w:ilvl w:val="0"/>
          <w:numId w:val="121"/>
        </w:numPr>
        <w:rPr>
          <w:rFonts w:ascii="Arial" w:cs="Arial" w:eastAsia="Arial" w:hAnsi="Arial"/>
          <w:sz w:val="17"/>
          <w:szCs w:val="17"/>
          <w:color w:val="auto"/>
        </w:rPr>
      </w:pPr>
      <w:r>
        <w:rPr>
          <w:rFonts w:ascii="Arial" w:cs="Arial" w:eastAsia="Arial" w:hAnsi="Arial"/>
          <w:sz w:val="17"/>
          <w:szCs w:val="17"/>
          <w:color w:val="auto"/>
        </w:rPr>
        <w:t>Defeasance.</w:t>
      </w:r>
    </w:p>
    <w:p>
      <w:pPr>
        <w:spacing w:after="0" w:line="201" w:lineRule="exact"/>
        <w:rPr>
          <w:sz w:val="20"/>
          <w:szCs w:val="20"/>
          <w:color w:val="auto"/>
        </w:rPr>
      </w:pPr>
    </w:p>
    <w:p>
      <w:pPr>
        <w:ind w:left="1" w:right="80" w:firstLine="595"/>
        <w:spacing w:after="0" w:line="252" w:lineRule="auto"/>
        <w:rPr>
          <w:sz w:val="20"/>
          <w:szCs w:val="20"/>
          <w:color w:val="auto"/>
        </w:rPr>
      </w:pPr>
      <w:r>
        <w:rPr>
          <w:rFonts w:ascii="Arial" w:cs="Arial" w:eastAsia="Arial" w:hAnsi="Arial"/>
          <w:sz w:val="17"/>
          <w:szCs w:val="17"/>
          <w:color w:val="auto"/>
        </w:rPr>
        <w:t>The Indenture [</w:t>
      </w:r>
      <w:r>
        <w:rPr>
          <w:rFonts w:ascii="Arial" w:cs="Arial" w:eastAsia="Arial" w:hAnsi="Arial"/>
          <w:sz w:val="17"/>
          <w:szCs w:val="17"/>
          <w:i w:val="1"/>
          <w:iCs w:val="1"/>
          <w:color w:val="auto"/>
        </w:rPr>
        <w:t>as amended by the Supplemental Indenture</w:t>
      </w:r>
      <w:r>
        <w:rPr>
          <w:rFonts w:ascii="Arial" w:cs="Arial" w:eastAsia="Arial" w:hAnsi="Arial"/>
          <w:sz w:val="17"/>
          <w:szCs w:val="17"/>
          <w:color w:val="auto"/>
        </w:rPr>
        <w:t>] contains provisions for defeasance at any time of (a) the entire indebtedness of the Issuer on this Security and (b) certain restrictive covenants and the related Events of Default, upon compliance by the Issuer with certain conditions set forth therein, which provisions [</w:t>
      </w:r>
      <w:r>
        <w:rPr>
          <w:rFonts w:ascii="Arial" w:cs="Arial" w:eastAsia="Arial" w:hAnsi="Arial"/>
          <w:sz w:val="17"/>
          <w:szCs w:val="17"/>
          <w:i w:val="1"/>
          <w:iCs w:val="1"/>
          <w:color w:val="auto"/>
        </w:rPr>
        <w:t>apply</w:t>
      </w:r>
      <w:r>
        <w:rPr>
          <w:rFonts w:ascii="Arial" w:cs="Arial" w:eastAsia="Arial" w:hAnsi="Arial"/>
          <w:sz w:val="17"/>
          <w:szCs w:val="17"/>
          <w:color w:val="auto"/>
        </w:rPr>
        <w:t>] to this Security.</w:t>
      </w:r>
    </w:p>
    <w:p>
      <w:pPr>
        <w:spacing w:after="0" w:line="178" w:lineRule="exact"/>
        <w:rPr>
          <w:sz w:val="20"/>
          <w:szCs w:val="20"/>
          <w:color w:val="auto"/>
        </w:rPr>
      </w:pPr>
    </w:p>
    <w:p>
      <w:pPr>
        <w:ind w:left="301" w:hanging="301"/>
        <w:spacing w:after="0"/>
        <w:tabs>
          <w:tab w:leader="none" w:pos="301"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Amendment; Supplement; Waiver.</w:t>
      </w:r>
    </w:p>
    <w:p>
      <w:pPr>
        <w:spacing w:after="0" w:line="201" w:lineRule="exact"/>
        <w:rPr>
          <w:sz w:val="20"/>
          <w:szCs w:val="20"/>
          <w:color w:val="auto"/>
        </w:rPr>
      </w:pPr>
    </w:p>
    <w:p>
      <w:pPr>
        <w:ind w:left="1" w:firstLine="595"/>
        <w:spacing w:after="0" w:line="284" w:lineRule="auto"/>
        <w:rPr>
          <w:sz w:val="20"/>
          <w:szCs w:val="20"/>
          <w:color w:val="auto"/>
        </w:rPr>
      </w:pPr>
      <w:r>
        <w:rPr>
          <w:rFonts w:ascii="Arial" w:cs="Arial" w:eastAsia="Arial" w:hAnsi="Arial"/>
          <w:sz w:val="15"/>
          <w:szCs w:val="15"/>
          <w:color w:val="auto"/>
        </w:rPr>
        <w:t>Subject to certain exceptions, the Securities of this series, [the Supplemental Indenture] and the provisions of the Indenture relating to the Securities of this series may be amended or supplemented with the written consent of the Holders of at least a majority in aggregate principal amount of the Securities of this series then outstanding, and any existing Default or Event of Default, other than the non-payment of the principal amount of or interest on the Securities of this series, or compliance with certain provisions may be waived with the consent of the Holders of a majority in aggregate principal amount of all the Securities of this series,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make any other change that does not adversely affect the rights of any Holder of a Security.</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9">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21"/>
          </w:cols>
          <w:pgMar w:left="319" w:top="846" w:right="359" w:bottom="1440" w:gutter="0" w:footer="0" w:header="0"/>
        </w:sectPr>
      </w:pPr>
    </w:p>
    <w:bookmarkStart w:id="176" w:name="page177"/>
    <w:bookmarkEnd w:id="176"/>
    <w:p>
      <w:pPr>
        <w:spacing w:after="0"/>
        <w:rPr>
          <w:sz w:val="20"/>
          <w:szCs w:val="20"/>
          <w:color w:val="auto"/>
        </w:rPr>
      </w:pPr>
      <w:r>
        <w:rPr>
          <w:rFonts w:ascii="Arial" w:cs="Arial" w:eastAsia="Arial" w:hAnsi="Arial"/>
          <w:sz w:val="17"/>
          <w:szCs w:val="17"/>
          <w:color w:val="auto"/>
        </w:rPr>
        <w:t>10. Defaults and Remedies.</w:t>
      </w:r>
    </w:p>
    <w:p>
      <w:pPr>
        <w:spacing w:after="0" w:line="201" w:lineRule="exact"/>
        <w:rPr>
          <w:sz w:val="20"/>
          <w:szCs w:val="20"/>
          <w:color w:val="auto"/>
        </w:rPr>
      </w:pPr>
    </w:p>
    <w:p>
      <w:pPr>
        <w:ind w:right="40" w:firstLine="595"/>
        <w:spacing w:after="0" w:line="282" w:lineRule="auto"/>
        <w:rPr>
          <w:sz w:val="20"/>
          <w:szCs w:val="20"/>
          <w:color w:val="auto"/>
        </w:rPr>
      </w:pPr>
      <w:r>
        <w:rPr>
          <w:rFonts w:ascii="Arial" w:cs="Arial" w:eastAsia="Arial" w:hAnsi="Arial"/>
          <w:sz w:val="15"/>
          <w:szCs w:val="15"/>
          <w:color w:val="auto"/>
        </w:rPr>
        <w:t>If an Event of Default (other than certain bankruptcy Events of Default with respect to the Issuer) occurs and is continuing, the Trustee or the Holders of at least 25% in aggregate principal amount of Securities of this series then outstanding (voting as a separate class) by notice in writing to the Issuer (and also to the Trustee if such notice is given by the Holders) may declare [</w:t>
      </w:r>
      <w:r>
        <w:rPr>
          <w:rFonts w:ascii="Arial" w:cs="Arial" w:eastAsia="Arial" w:hAnsi="Arial"/>
          <w:sz w:val="15"/>
          <w:szCs w:val="15"/>
          <w:i w:val="1"/>
          <w:iCs w:val="1"/>
          <w:color w:val="auto"/>
        </w:rPr>
        <w:t>the entire principal</w:t>
      </w:r>
      <w:r>
        <w:rPr>
          <w:rFonts w:ascii="Arial" w:cs="Arial" w:eastAsia="Arial" w:hAnsi="Arial"/>
          <w:sz w:val="15"/>
          <w:szCs w:val="15"/>
          <w:color w:val="auto"/>
        </w:rPr>
        <w:t>] of the Securities of this series and the interest accrued thereon, if any, to be due and payable immediately in the manner and with the effect provided in the Indenture. If a bankruptcy Event of Default with respect to the Issuer occurs and is continuing, then [</w:t>
      </w:r>
      <w:r>
        <w:rPr>
          <w:rFonts w:ascii="Arial" w:cs="Arial" w:eastAsia="Arial" w:hAnsi="Arial"/>
          <w:sz w:val="15"/>
          <w:szCs w:val="15"/>
          <w:i w:val="1"/>
          <w:iCs w:val="1"/>
          <w:color w:val="auto"/>
        </w:rPr>
        <w:t>the</w:t>
      </w:r>
      <w:r>
        <w:rPr>
          <w:rFonts w:ascii="Arial" w:cs="Arial" w:eastAsia="Arial" w:hAnsi="Arial"/>
          <w:sz w:val="15"/>
          <w:szCs w:val="15"/>
          <w:color w:val="auto"/>
        </w:rPr>
        <w:t xml:space="preserve"> </w:t>
      </w:r>
      <w:r>
        <w:rPr>
          <w:rFonts w:ascii="Arial" w:cs="Arial" w:eastAsia="Arial" w:hAnsi="Arial"/>
          <w:sz w:val="15"/>
          <w:szCs w:val="15"/>
          <w:i w:val="1"/>
          <w:iCs w:val="1"/>
          <w:color w:val="auto"/>
        </w:rPr>
        <w:t>entire principal</w:t>
      </w:r>
      <w:r>
        <w:rPr>
          <w:rFonts w:ascii="Arial" w:cs="Arial" w:eastAsia="Arial" w:hAnsi="Arial"/>
          <w:sz w:val="15"/>
          <w:szCs w:val="15"/>
          <w:color w:val="auto"/>
        </w:rPr>
        <w:t>] of the Securities then outstanding and interest accrued thereon, if any, shall become automatically due and payable immediately in the manner and with</w:t>
      </w:r>
      <w:r>
        <w:rPr>
          <w:rFonts w:ascii="Arial" w:cs="Arial" w:eastAsia="Arial" w:hAnsi="Arial"/>
          <w:sz w:val="15"/>
          <w:szCs w:val="15"/>
          <w:i w:val="1"/>
          <w:iCs w:val="1"/>
          <w:color w:val="auto"/>
        </w:rPr>
        <w:t xml:space="preserve"> </w:t>
      </w:r>
      <w:r>
        <w:rPr>
          <w:rFonts w:ascii="Arial" w:cs="Arial" w:eastAsia="Arial" w:hAnsi="Arial"/>
          <w:sz w:val="15"/>
          <w:szCs w:val="15"/>
          <w:color w:val="auto"/>
        </w:rPr>
        <w:t>the effect provided in the Indenture. Holders of Securities may not enforce the Indenture or the Securities except as provided in the Indenture. The Trustee is not obligated to enforce the Indenture or the Securities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11. Subordination.</w:t>
      </w:r>
    </w:p>
    <w:p>
      <w:pPr>
        <w:spacing w:after="0" w:line="201" w:lineRule="exact"/>
        <w:rPr>
          <w:sz w:val="20"/>
          <w:szCs w:val="20"/>
          <w:color w:val="auto"/>
        </w:rPr>
      </w:pPr>
    </w:p>
    <w:p>
      <w:pPr>
        <w:ind w:firstLine="595"/>
        <w:spacing w:after="0" w:line="252" w:lineRule="auto"/>
        <w:rPr>
          <w:sz w:val="20"/>
          <w:szCs w:val="20"/>
          <w:color w:val="auto"/>
        </w:rPr>
      </w:pPr>
      <w:r>
        <w:rPr>
          <w:rFonts w:ascii="Arial" w:cs="Arial" w:eastAsia="Arial" w:hAnsi="Arial"/>
          <w:sz w:val="17"/>
          <w:szCs w:val="17"/>
          <w:color w:val="auto"/>
        </w:rPr>
        <w:t>Reference is made to the Indenture, including, without limitation, provisions subordinating the payment of principal of and premium, if any, and interest on the Securities to the prior payment in full of all Senior Indebtedness as defined in the Indenture. Such further provisions shall for all purposes have the same effect as though fully set forth at this place.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12. Trustee Dealings with Issuer.</w:t>
      </w:r>
    </w:p>
    <w:p>
      <w:pPr>
        <w:spacing w:after="0" w:line="201" w:lineRule="exact"/>
        <w:rPr>
          <w:sz w:val="20"/>
          <w:szCs w:val="20"/>
          <w:color w:val="auto"/>
        </w:rPr>
      </w:pPr>
    </w:p>
    <w:p>
      <w:pPr>
        <w:ind w:right="120" w:firstLine="595"/>
        <w:spacing w:after="0" w:line="260" w:lineRule="auto"/>
        <w:rPr>
          <w:sz w:val="20"/>
          <w:szCs w:val="20"/>
          <w:color w:val="auto"/>
        </w:rPr>
      </w:pPr>
      <w:r>
        <w:rPr>
          <w:rFonts w:ascii="Arial" w:cs="Arial" w:eastAsia="Arial" w:hAnsi="Arial"/>
          <w:sz w:val="17"/>
          <w:szCs w:val="17"/>
          <w:color w:val="auto"/>
        </w:rPr>
        <w:t>The Trustee under the Indenture, in its individual or any other capacity, may become the owner or pledgee of Securities and may otherwise deal with the Issuer as if it were not the Trustee.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13. No Recourse Against Others.</w:t>
      </w:r>
    </w:p>
    <w:p>
      <w:pPr>
        <w:spacing w:after="0" w:line="201" w:lineRule="exact"/>
        <w:rPr>
          <w:sz w:val="20"/>
          <w:szCs w:val="20"/>
          <w:color w:val="auto"/>
        </w:rPr>
      </w:pPr>
    </w:p>
    <w:p>
      <w:pPr>
        <w:jc w:val="both"/>
        <w:ind w:firstLine="595"/>
        <w:spacing w:after="0" w:line="331" w:lineRule="auto"/>
        <w:rPr>
          <w:sz w:val="20"/>
          <w:szCs w:val="20"/>
          <w:color w:val="auto"/>
        </w:rPr>
      </w:pPr>
      <w:r>
        <w:rPr>
          <w:rFonts w:ascii="Arial" w:cs="Arial" w:eastAsia="Arial" w:hAnsi="Arial"/>
          <w:sz w:val="14"/>
          <w:szCs w:val="14"/>
          <w:color w:val="auto"/>
        </w:rPr>
        <w:t>No stockholder, director, officer, employee or incorporator, past, present or future as such, of the Issuer or any predecessor or successor corporation thereof shall have any liability for any obligation under the Securities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0">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20"/>
          </w:cols>
          <w:pgMar w:left="320" w:top="846" w:right="359" w:bottom="1440" w:gutter="0" w:footer="0" w:header="0"/>
        </w:sectPr>
      </w:pPr>
    </w:p>
    <w:bookmarkStart w:id="177" w:name="page178"/>
    <w:bookmarkEnd w:id="177"/>
    <w:p>
      <w:pPr>
        <w:spacing w:after="0"/>
        <w:rPr>
          <w:sz w:val="20"/>
          <w:szCs w:val="20"/>
          <w:color w:val="auto"/>
        </w:rPr>
      </w:pPr>
      <w:r>
        <w:rPr>
          <w:rFonts w:ascii="Arial" w:cs="Arial" w:eastAsia="Arial" w:hAnsi="Arial"/>
          <w:sz w:val="17"/>
          <w:szCs w:val="17"/>
          <w:color w:val="auto"/>
        </w:rPr>
        <w:t>14. Authentication.</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This Security shall not be valid until the Trustee manually signs the certificate of authentication on this Security.</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15. Abbreviations and Defined Terms.</w:t>
      </w:r>
    </w:p>
    <w:p>
      <w:pPr>
        <w:spacing w:after="0" w:line="201" w:lineRule="exact"/>
        <w:rPr>
          <w:sz w:val="20"/>
          <w:szCs w:val="20"/>
          <w:color w:val="auto"/>
        </w:rPr>
      </w:pPr>
    </w:p>
    <w:p>
      <w:pPr>
        <w:ind w:firstLine="595"/>
        <w:spacing w:after="0" w:line="327" w:lineRule="auto"/>
        <w:rPr>
          <w:sz w:val="20"/>
          <w:szCs w:val="20"/>
          <w:color w:val="auto"/>
        </w:rPr>
      </w:pPr>
      <w:r>
        <w:rPr>
          <w:rFonts w:ascii="Arial" w:cs="Arial" w:eastAsia="Arial" w:hAnsi="Arial"/>
          <w:sz w:val="15"/>
          <w:szCs w:val="15"/>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16. CUSIP Numbers.</w:t>
      </w:r>
    </w:p>
    <w:p>
      <w:pPr>
        <w:spacing w:after="0" w:line="201" w:lineRule="exact"/>
        <w:rPr>
          <w:sz w:val="20"/>
          <w:szCs w:val="20"/>
          <w:color w:val="auto"/>
        </w:rPr>
      </w:pPr>
    </w:p>
    <w:p>
      <w:pPr>
        <w:ind w:right="60" w:firstLine="595"/>
        <w:spacing w:after="0" w:line="252" w:lineRule="auto"/>
        <w:rPr>
          <w:sz w:val="20"/>
          <w:szCs w:val="20"/>
          <w:color w:val="auto"/>
        </w:rPr>
      </w:pPr>
      <w:r>
        <w:rPr>
          <w:rFonts w:ascii="Arial" w:cs="Arial" w:eastAsia="Arial" w:hAnsi="Arial"/>
          <w:sz w:val="17"/>
          <w:szCs w:val="17"/>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17. Governing Law.</w:t>
      </w:r>
    </w:p>
    <w:p>
      <w:pPr>
        <w:spacing w:after="0" w:line="201" w:lineRule="exact"/>
        <w:rPr>
          <w:sz w:val="20"/>
          <w:szCs w:val="20"/>
          <w:color w:val="auto"/>
        </w:rPr>
      </w:pPr>
    </w:p>
    <w:p>
      <w:pPr>
        <w:ind w:right="80" w:firstLine="595"/>
        <w:spacing w:after="0" w:line="252" w:lineRule="auto"/>
        <w:rPr>
          <w:sz w:val="20"/>
          <w:szCs w:val="20"/>
          <w:color w:val="auto"/>
        </w:rPr>
      </w:pPr>
      <w:r>
        <w:rPr>
          <w:rFonts w:ascii="Arial" w:cs="Arial" w:eastAsia="Arial" w:hAnsi="Arial"/>
          <w:sz w:val="17"/>
          <w:szCs w:val="17"/>
          <w:color w:val="auto"/>
        </w:rPr>
        <w:t>The laws of the State of New York shall govern the Indenture and this Security thereof, and for all purposes this Security shall be governed by and construed in accordance with the laws of such State without regard to any principle of conflict of laws that would require or permit the application of the laws of any other jurisdiction, except as may otherwise be required by mandatory provisions of law.</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1">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00"/>
          </w:cols>
          <w:pgMar w:left="320" w:top="847" w:right="37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13"/>
        </w:trPr>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340" w:type="dxa"/>
            <w:vAlign w:val="bottom"/>
            <w:gridSpan w:val="3"/>
          </w:tcPr>
          <w:p>
            <w:pPr>
              <w:jc w:val="center"/>
              <w:ind w:right="797"/>
              <w:spacing w:after="0"/>
              <w:rPr>
                <w:sz w:val="20"/>
                <w:szCs w:val="20"/>
                <w:color w:val="auto"/>
              </w:rPr>
            </w:pPr>
            <w:r>
              <w:rPr>
                <w:rFonts w:ascii="Arial" w:cs="Arial" w:eastAsia="Arial" w:hAnsi="Arial"/>
                <w:sz w:val="17"/>
                <w:szCs w:val="17"/>
                <w:b w:val="1"/>
                <w:bCs w:val="1"/>
                <w:color w:val="auto"/>
                <w:w w:val="98"/>
              </w:rPr>
              <w:t>ASSIGNMENT FORM</w:t>
            </w:r>
          </w:p>
        </w:tc>
      </w:tr>
      <w:tr>
        <w:trPr>
          <w:trHeight w:val="397"/>
        </w:trPr>
        <w:tc>
          <w:tcPr>
            <w:tcW w:w="500" w:type="dxa"/>
            <w:vAlign w:val="bottom"/>
          </w:tcPr>
          <w:p>
            <w:pPr>
              <w:spacing w:after="0"/>
              <w:rPr>
                <w:sz w:val="24"/>
                <w:szCs w:val="24"/>
                <w:color w:val="auto"/>
              </w:rPr>
            </w:pPr>
          </w:p>
        </w:tc>
        <w:tc>
          <w:tcPr>
            <w:tcW w:w="10740" w:type="dxa"/>
            <w:vAlign w:val="bottom"/>
            <w:gridSpan w:val="4"/>
          </w:tcPr>
          <w:p>
            <w:pPr>
              <w:ind w:left="100"/>
              <w:spacing w:after="0"/>
              <w:rPr>
                <w:sz w:val="20"/>
                <w:szCs w:val="20"/>
                <w:color w:val="auto"/>
              </w:rPr>
            </w:pPr>
            <w:r>
              <w:rPr>
                <w:rFonts w:ascii="Arial" w:cs="Arial" w:eastAsia="Arial" w:hAnsi="Arial"/>
                <w:sz w:val="17"/>
                <w:szCs w:val="17"/>
                <w:color w:val="auto"/>
              </w:rPr>
              <w:t>I or we assign and transfer this Security to</w:t>
            </w:r>
          </w:p>
        </w:tc>
      </w:tr>
      <w:tr>
        <w:trPr>
          <w:trHeight w:val="399"/>
        </w:trPr>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r>
        <w:trPr>
          <w:trHeight w:val="202"/>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340" w:type="dxa"/>
            <w:vAlign w:val="bottom"/>
            <w:gridSpan w:val="3"/>
          </w:tcPr>
          <w:p>
            <w:pPr>
              <w:jc w:val="center"/>
              <w:ind w:right="817"/>
              <w:spacing w:after="0"/>
              <w:rPr>
                <w:sz w:val="20"/>
                <w:szCs w:val="20"/>
                <w:color w:val="auto"/>
              </w:rPr>
            </w:pPr>
            <w:r>
              <w:rPr>
                <w:rFonts w:ascii="Arial" w:cs="Arial" w:eastAsia="Arial" w:hAnsi="Arial"/>
                <w:sz w:val="17"/>
                <w:szCs w:val="17"/>
                <w:color w:val="auto"/>
                <w:w w:val="86"/>
              </w:rPr>
              <w:t>(Print or type name, address and zip code of assignee or transferee)</w:t>
            </w:r>
          </w:p>
        </w:tc>
      </w:tr>
      <w:tr>
        <w:trPr>
          <w:trHeight w:val="386"/>
        </w:trPr>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r>
        <w:trPr>
          <w:trHeight w:val="202"/>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340" w:type="dxa"/>
            <w:vAlign w:val="bottom"/>
            <w:gridSpan w:val="3"/>
          </w:tcPr>
          <w:p>
            <w:pPr>
              <w:jc w:val="center"/>
              <w:ind w:right="797"/>
              <w:spacing w:after="0"/>
              <w:rPr>
                <w:sz w:val="20"/>
                <w:szCs w:val="20"/>
                <w:color w:val="auto"/>
              </w:rPr>
            </w:pPr>
            <w:r>
              <w:rPr>
                <w:rFonts w:ascii="Arial" w:cs="Arial" w:eastAsia="Arial" w:hAnsi="Arial"/>
                <w:sz w:val="17"/>
                <w:szCs w:val="17"/>
                <w:color w:val="auto"/>
                <w:w w:val="88"/>
              </w:rPr>
              <w:t>(Insert Social Security or other identifying number of assignee or transferee)</w:t>
            </w:r>
          </w:p>
        </w:tc>
      </w:tr>
      <w:tr>
        <w:trPr>
          <w:trHeight w:val="374"/>
        </w:trPr>
        <w:tc>
          <w:tcPr>
            <w:tcW w:w="500" w:type="dxa"/>
            <w:vAlign w:val="bottom"/>
          </w:tcPr>
          <w:p>
            <w:pPr>
              <w:spacing w:after="0"/>
              <w:rPr>
                <w:sz w:val="24"/>
                <w:szCs w:val="24"/>
                <w:color w:val="auto"/>
              </w:rPr>
            </w:pPr>
          </w:p>
        </w:tc>
        <w:tc>
          <w:tcPr>
            <w:tcW w:w="10740" w:type="dxa"/>
            <w:vAlign w:val="bottom"/>
            <w:gridSpan w:val="4"/>
          </w:tcPr>
          <w:p>
            <w:pPr>
              <w:ind w:left="60"/>
              <w:spacing w:after="0"/>
              <w:rPr>
                <w:sz w:val="20"/>
                <w:szCs w:val="20"/>
                <w:color w:val="auto"/>
              </w:rPr>
            </w:pPr>
            <w:r>
              <w:rPr>
                <w:rFonts w:ascii="Arial" w:cs="Arial" w:eastAsia="Arial" w:hAnsi="Arial"/>
                <w:sz w:val="17"/>
                <w:szCs w:val="17"/>
                <w:color w:val="auto"/>
              </w:rPr>
              <w:t>and irrevocably appoint ______________________________________________</w:t>
            </w:r>
          </w:p>
        </w:tc>
      </w:tr>
      <w:tr>
        <w:trPr>
          <w:trHeight w:val="198"/>
        </w:trPr>
        <w:tc>
          <w:tcPr>
            <w:tcW w:w="500" w:type="dxa"/>
            <w:vAlign w:val="bottom"/>
          </w:tcPr>
          <w:p>
            <w:pPr>
              <w:spacing w:after="0"/>
              <w:rPr>
                <w:sz w:val="17"/>
                <w:szCs w:val="17"/>
                <w:color w:val="auto"/>
              </w:rPr>
            </w:pPr>
          </w:p>
        </w:tc>
        <w:tc>
          <w:tcPr>
            <w:tcW w:w="10740" w:type="dxa"/>
            <w:vAlign w:val="bottom"/>
            <w:gridSpan w:val="4"/>
          </w:tcPr>
          <w:p>
            <w:pPr>
              <w:ind w:left="60"/>
              <w:spacing w:after="0"/>
              <w:rPr>
                <w:sz w:val="20"/>
                <w:szCs w:val="20"/>
                <w:color w:val="auto"/>
              </w:rPr>
            </w:pPr>
            <w:r>
              <w:rPr>
                <w:rFonts w:ascii="Arial" w:cs="Arial" w:eastAsia="Arial" w:hAnsi="Arial"/>
                <w:sz w:val="17"/>
                <w:szCs w:val="17"/>
                <w:color w:val="auto"/>
              </w:rPr>
              <w:t>agent to transfer this Security on the books of the Issuer. The agent may</w:t>
            </w:r>
          </w:p>
        </w:tc>
      </w:tr>
      <w:tr>
        <w:trPr>
          <w:trHeight w:val="209"/>
        </w:trPr>
        <w:tc>
          <w:tcPr>
            <w:tcW w:w="500" w:type="dxa"/>
            <w:vAlign w:val="bottom"/>
          </w:tcPr>
          <w:p>
            <w:pPr>
              <w:spacing w:after="0"/>
              <w:rPr>
                <w:sz w:val="18"/>
                <w:szCs w:val="18"/>
                <w:color w:val="auto"/>
              </w:rPr>
            </w:pPr>
          </w:p>
        </w:tc>
        <w:tc>
          <w:tcPr>
            <w:tcW w:w="10740" w:type="dxa"/>
            <w:vAlign w:val="bottom"/>
            <w:gridSpan w:val="4"/>
          </w:tcPr>
          <w:p>
            <w:pPr>
              <w:ind w:left="60"/>
              <w:spacing w:after="0"/>
              <w:rPr>
                <w:sz w:val="20"/>
                <w:szCs w:val="20"/>
                <w:color w:val="auto"/>
              </w:rPr>
            </w:pPr>
            <w:r>
              <w:rPr>
                <w:rFonts w:ascii="Arial" w:cs="Arial" w:eastAsia="Arial" w:hAnsi="Arial"/>
                <w:sz w:val="17"/>
                <w:szCs w:val="17"/>
                <w:color w:val="auto"/>
              </w:rPr>
              <w:t>substitute another to act for him.</w:t>
            </w:r>
          </w:p>
        </w:tc>
      </w:tr>
      <w:tr>
        <w:trPr>
          <w:trHeight w:val="397"/>
        </w:trPr>
        <w:tc>
          <w:tcPr>
            <w:tcW w:w="500" w:type="dxa"/>
            <w:vAlign w:val="bottom"/>
          </w:tcPr>
          <w:p>
            <w:pPr>
              <w:spacing w:after="0"/>
              <w:rPr>
                <w:sz w:val="20"/>
                <w:szCs w:val="20"/>
                <w:color w:val="auto"/>
              </w:rPr>
            </w:pPr>
            <w:r>
              <w:rPr>
                <w:rFonts w:ascii="Arial" w:cs="Arial" w:eastAsia="Arial" w:hAnsi="Arial"/>
                <w:sz w:val="17"/>
                <w:szCs w:val="17"/>
                <w:color w:val="auto"/>
                <w:w w:val="95"/>
              </w:rPr>
              <w:t>Dated:</w:t>
            </w:r>
          </w:p>
        </w:tc>
        <w:tc>
          <w:tcPr>
            <w:tcW w:w="4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080" w:type="dxa"/>
            <w:vAlign w:val="bottom"/>
            <w:gridSpan w:val="2"/>
          </w:tcPr>
          <w:p>
            <w:pPr>
              <w:ind w:left="440"/>
              <w:spacing w:after="0"/>
              <w:rPr>
                <w:sz w:val="20"/>
                <w:szCs w:val="20"/>
                <w:color w:val="auto"/>
              </w:rPr>
            </w:pPr>
            <w:r>
              <w:rPr>
                <w:rFonts w:ascii="Arial" w:cs="Arial" w:eastAsia="Arial" w:hAnsi="Arial"/>
                <w:sz w:val="17"/>
                <w:szCs w:val="17"/>
                <w:color w:val="auto"/>
              </w:rPr>
              <w:t>Signed:</w:t>
            </w:r>
          </w:p>
        </w:tc>
      </w:tr>
      <w:tr>
        <w:trPr>
          <w:trHeight w:val="180"/>
        </w:trPr>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60" w:type="dxa"/>
            <w:vAlign w:val="bottom"/>
            <w:tcBorders>
              <w:top w:val="single" w:sz="8" w:color="auto"/>
            </w:tcBorders>
          </w:tcPr>
          <w:p>
            <w:pPr>
              <w:spacing w:after="0"/>
              <w:rPr>
                <w:sz w:val="15"/>
                <w:szCs w:val="15"/>
                <w:color w:val="auto"/>
              </w:rPr>
            </w:pPr>
          </w:p>
        </w:tc>
        <w:tc>
          <w:tcPr>
            <w:tcW w:w="1340" w:type="dxa"/>
            <w:vAlign w:val="bottom"/>
          </w:tcPr>
          <w:p>
            <w:pPr>
              <w:spacing w:after="0"/>
              <w:rPr>
                <w:sz w:val="15"/>
                <w:szCs w:val="15"/>
                <w:color w:val="auto"/>
              </w:rPr>
            </w:pPr>
          </w:p>
        </w:tc>
        <w:tc>
          <w:tcPr>
            <w:tcW w:w="4740" w:type="dxa"/>
            <w:vAlign w:val="bottom"/>
            <w:tcBorders>
              <w:top w:val="single" w:sz="8" w:color="auto"/>
            </w:tcBorders>
          </w:tcPr>
          <w:p>
            <w:pPr>
              <w:spacing w:after="0" w:line="180" w:lineRule="exact"/>
              <w:rPr>
                <w:sz w:val="20"/>
                <w:szCs w:val="20"/>
                <w:color w:val="auto"/>
              </w:rPr>
            </w:pPr>
            <w:r>
              <w:rPr>
                <w:rFonts w:ascii="Arial" w:cs="Arial" w:eastAsia="Arial" w:hAnsi="Arial"/>
                <w:sz w:val="17"/>
                <w:szCs w:val="17"/>
                <w:color w:val="auto"/>
              </w:rPr>
              <w:t>(Signed exactly as name</w:t>
            </w:r>
          </w:p>
        </w:tc>
      </w:tr>
      <w:tr>
        <w:trPr>
          <w:trHeight w:val="198"/>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6080" w:type="dxa"/>
            <w:vAlign w:val="bottom"/>
            <w:gridSpan w:val="2"/>
          </w:tcPr>
          <w:p>
            <w:pPr>
              <w:ind w:left="1340"/>
              <w:spacing w:after="0"/>
              <w:rPr>
                <w:sz w:val="20"/>
                <w:szCs w:val="20"/>
                <w:color w:val="auto"/>
              </w:rPr>
            </w:pPr>
            <w:r>
              <w:rPr>
                <w:rFonts w:ascii="Arial" w:cs="Arial" w:eastAsia="Arial" w:hAnsi="Arial"/>
                <w:sz w:val="17"/>
                <w:szCs w:val="17"/>
                <w:color w:val="auto"/>
              </w:rPr>
              <w:t>appears on the other side of</w:t>
            </w:r>
          </w:p>
        </w:tc>
      </w:tr>
      <w:tr>
        <w:trPr>
          <w:trHeight w:val="209"/>
        </w:trPr>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6080" w:type="dxa"/>
            <w:vAlign w:val="bottom"/>
            <w:gridSpan w:val="2"/>
          </w:tcPr>
          <w:p>
            <w:pPr>
              <w:ind w:left="1340"/>
              <w:spacing w:after="0"/>
              <w:rPr>
                <w:sz w:val="20"/>
                <w:szCs w:val="20"/>
                <w:color w:val="auto"/>
              </w:rPr>
            </w:pPr>
            <w:r>
              <w:rPr>
                <w:rFonts w:ascii="Arial" w:cs="Arial" w:eastAsia="Arial" w:hAnsi="Arial"/>
                <w:sz w:val="17"/>
                <w:szCs w:val="17"/>
                <w:color w:val="auto"/>
              </w:rPr>
              <w:t>this Security)</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Signature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Guarantee:</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Participant in a recognized Signature Guarantee Medallion Program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-123190</wp:posOffset>
            </wp:positionV>
            <wp:extent cx="285115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2">
                      <a:extLst>
                        <a:ext uri="{28A0092B-C50C-407E-A947-70E740481C1C}"/>
                      </a:extLst>
                    </a:blip>
                    <a:srcRect/>
                    <a:stretch>
                      <a:fillRect/>
                    </a:stretch>
                  </pic:blipFill>
                  <pic:spPr bwMode="auto">
                    <a:xfrm>
                      <a:off x="0" y="0"/>
                      <a:ext cx="2851150" cy="762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7"/>
          <w:szCs w:val="17"/>
          <w:color w:val="auto"/>
        </w:rPr>
        <w:t>signature guarantor program reasonably acceptable to the Trustee)</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3">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6016625</wp:posOffset>
            </wp:positionH>
            <wp:positionV relativeFrom="paragraph">
              <wp:posOffset>138430</wp:posOffset>
            </wp:positionV>
            <wp:extent cx="1126490" cy="5200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4">
                      <a:extLst>
                        <a:ext uri="{28A0092B-C50C-407E-A947-70E740481C1C}"/>
                      </a:extLst>
                    </a:blip>
                    <a:srcRect/>
                    <a:stretch>
                      <a:fillRect/>
                    </a:stretch>
                  </pic:blipFill>
                  <pic:spPr bwMode="auto">
                    <a:xfrm>
                      <a:off x="0" y="0"/>
                      <a:ext cx="1126490" cy="520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October 21, 2021</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IVERIC bio,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Five Penn Plaza, Suite 2372</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New York, NY 10001</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Re:</w:t>
      </w:r>
      <w:r>
        <w:rPr>
          <w:sz w:val="20"/>
          <w:szCs w:val="20"/>
          <w:color w:val="auto"/>
        </w:rPr>
        <w:tab/>
      </w:r>
      <w:r>
        <w:rPr>
          <w:rFonts w:ascii="Arial" w:cs="Arial" w:eastAsia="Arial" w:hAnsi="Arial"/>
          <w:sz w:val="17"/>
          <w:szCs w:val="17"/>
          <w:color w:val="auto"/>
        </w:rPr>
        <w:t>Registration Statement on Form S-3</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01" w:lineRule="exact"/>
        <w:rPr>
          <w:sz w:val="20"/>
          <w:szCs w:val="20"/>
          <w:color w:val="auto"/>
        </w:rPr>
      </w:pPr>
    </w:p>
    <w:p>
      <w:pPr>
        <w:ind w:right="400" w:firstLine="595"/>
        <w:spacing w:after="0" w:line="252" w:lineRule="auto"/>
        <w:rPr>
          <w:sz w:val="20"/>
          <w:szCs w:val="20"/>
          <w:color w:val="auto"/>
        </w:rPr>
      </w:pPr>
      <w:r>
        <w:rPr>
          <w:rFonts w:ascii="Arial" w:cs="Arial" w:eastAsia="Arial" w:hAnsi="Arial"/>
          <w:sz w:val="17"/>
          <w:szCs w:val="17"/>
          <w:color w:val="auto"/>
        </w:rPr>
        <w:t>This opinion is furnished to you in connection with a Registration Statement on Form S-3 (the “Registration Statement”) to be filed by IVERIC bio, Inc., a Delaware corporation (the “Company”), with the Securities and Exchange Commission (the “Commission”) under the Securities Act of 1933, as amended (the “Securities Act”), for the registration of the following securities of the Company (the “Securities”):</w:t>
      </w:r>
    </w:p>
    <w:p>
      <w:pPr>
        <w:spacing w:after="0" w:line="178" w:lineRule="exact"/>
        <w:rPr>
          <w:sz w:val="20"/>
          <w:szCs w:val="20"/>
          <w:color w:val="auto"/>
        </w:rPr>
      </w:pPr>
    </w:p>
    <w:p>
      <w:pPr>
        <w:ind w:left="1200" w:hanging="605"/>
        <w:spacing w:after="0"/>
        <w:tabs>
          <w:tab w:leader="none" w:pos="12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senior debt securities (the “Senior Debt Securities”);</w:t>
      </w:r>
    </w:p>
    <w:p>
      <w:pPr>
        <w:spacing w:after="0" w:line="13" w:lineRule="exact"/>
        <w:rPr>
          <w:rFonts w:ascii="Arial" w:cs="Arial" w:eastAsia="Arial" w:hAnsi="Arial"/>
          <w:sz w:val="17"/>
          <w:szCs w:val="17"/>
          <w:color w:val="auto"/>
        </w:rPr>
      </w:pPr>
    </w:p>
    <w:p>
      <w:pPr>
        <w:ind w:left="1200" w:hanging="605"/>
        <w:spacing w:after="0"/>
        <w:tabs>
          <w:tab w:leader="none" w:pos="12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subordinated debt securities (the “Subordinated Debt Securities” and, together with the Senior Debt Securities, the “Debt Securities”);</w:t>
      </w:r>
    </w:p>
    <w:p>
      <w:pPr>
        <w:spacing w:after="0" w:line="2" w:lineRule="exact"/>
        <w:rPr>
          <w:rFonts w:ascii="Arial" w:cs="Arial" w:eastAsia="Arial" w:hAnsi="Arial"/>
          <w:sz w:val="17"/>
          <w:szCs w:val="17"/>
          <w:color w:val="auto"/>
        </w:rPr>
      </w:pPr>
    </w:p>
    <w:p>
      <w:pPr>
        <w:ind w:left="1200" w:hanging="605"/>
        <w:spacing w:after="0"/>
        <w:tabs>
          <w:tab w:leader="none" w:pos="12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common stock, par value $0.001 per share (the “Common Stock”);</w:t>
      </w:r>
    </w:p>
    <w:p>
      <w:pPr>
        <w:spacing w:after="0" w:line="2" w:lineRule="exact"/>
        <w:rPr>
          <w:rFonts w:ascii="Arial" w:cs="Arial" w:eastAsia="Arial" w:hAnsi="Arial"/>
          <w:sz w:val="17"/>
          <w:szCs w:val="17"/>
          <w:color w:val="auto"/>
        </w:rPr>
      </w:pPr>
    </w:p>
    <w:p>
      <w:pPr>
        <w:ind w:left="1200" w:hanging="605"/>
        <w:spacing w:after="0"/>
        <w:tabs>
          <w:tab w:leader="none" w:pos="12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preferred stock, par value $0.001 per share (the “Preferred Stock”);</w:t>
      </w:r>
    </w:p>
    <w:p>
      <w:pPr>
        <w:spacing w:after="0" w:line="2" w:lineRule="exact"/>
        <w:rPr>
          <w:rFonts w:ascii="Arial" w:cs="Arial" w:eastAsia="Arial" w:hAnsi="Arial"/>
          <w:sz w:val="17"/>
          <w:szCs w:val="17"/>
          <w:color w:val="auto"/>
        </w:rPr>
      </w:pPr>
    </w:p>
    <w:p>
      <w:pPr>
        <w:ind w:left="1200" w:hanging="605"/>
        <w:spacing w:after="0"/>
        <w:tabs>
          <w:tab w:leader="none" w:pos="12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warrants to purchase Debt Securities, Common Stock, Preferred Stock or Depositary Shares (as defined herein) (the “Warrants”);</w:t>
      </w:r>
    </w:p>
    <w:p>
      <w:pPr>
        <w:spacing w:after="0" w:line="2" w:lineRule="exact"/>
        <w:rPr>
          <w:rFonts w:ascii="Arial" w:cs="Arial" w:eastAsia="Arial" w:hAnsi="Arial"/>
          <w:sz w:val="17"/>
          <w:szCs w:val="17"/>
          <w:color w:val="auto"/>
        </w:rPr>
      </w:pPr>
    </w:p>
    <w:p>
      <w:pPr>
        <w:ind w:left="1200" w:hanging="605"/>
        <w:spacing w:after="0"/>
        <w:tabs>
          <w:tab w:leader="none" w:pos="120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subscription rights representing rights to purchase Common Stock, Preferred Stock, Debt Securities or other securities (“Subscription Rights”);</w:t>
      </w:r>
    </w:p>
    <w:p>
      <w:pPr>
        <w:spacing w:after="0" w:line="25" w:lineRule="exact"/>
        <w:rPr>
          <w:rFonts w:ascii="Arial" w:cs="Arial" w:eastAsia="Arial" w:hAnsi="Arial"/>
          <w:sz w:val="15"/>
          <w:szCs w:val="15"/>
          <w:color w:val="auto"/>
        </w:rPr>
      </w:pPr>
    </w:p>
    <w:p>
      <w:pPr>
        <w:ind w:left="1200" w:hanging="605"/>
        <w:spacing w:after="0"/>
        <w:tabs>
          <w:tab w:leader="none" w:pos="12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depositary shares representing fractional interests in a share or multiple shares of Preferred Stock (“Depositary Shares”); and</w:t>
      </w:r>
    </w:p>
    <w:p>
      <w:pPr>
        <w:spacing w:after="0" w:line="2" w:lineRule="exact"/>
        <w:rPr>
          <w:rFonts w:ascii="Arial" w:cs="Arial" w:eastAsia="Arial" w:hAnsi="Arial"/>
          <w:sz w:val="17"/>
          <w:szCs w:val="17"/>
          <w:color w:val="auto"/>
        </w:rPr>
      </w:pPr>
    </w:p>
    <w:p>
      <w:pPr>
        <w:ind w:left="1200" w:right="420" w:hanging="605"/>
        <w:spacing w:after="0" w:line="247" w:lineRule="auto"/>
        <w:tabs>
          <w:tab w:leader="none" w:pos="12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units, consisting of one or more securities, including Common Stock, Preferred Stock, Warrants, Subscription Rights, Debt Securities, Depositary Shares or any other securities (“Units”);</w:t>
      </w:r>
    </w:p>
    <w:p>
      <w:pPr>
        <w:spacing w:after="0" w:line="182" w:lineRule="exact"/>
        <w:rPr>
          <w:sz w:val="20"/>
          <w:szCs w:val="20"/>
          <w:color w:val="auto"/>
        </w:rPr>
      </w:pPr>
    </w:p>
    <w:p>
      <w:pPr>
        <w:ind w:right="40"/>
        <w:spacing w:after="0" w:line="327" w:lineRule="auto"/>
        <w:rPr>
          <w:sz w:val="20"/>
          <w:szCs w:val="20"/>
          <w:color w:val="auto"/>
        </w:rPr>
      </w:pPr>
      <w:r>
        <w:rPr>
          <w:rFonts w:ascii="Arial" w:cs="Arial" w:eastAsia="Arial" w:hAnsi="Arial"/>
          <w:sz w:val="15"/>
          <w:szCs w:val="15"/>
          <w:color w:val="auto"/>
        </w:rPr>
        <w:t>all of which may be issued from time to time on a delayed or continuous basis pursuant to Rule 415 under the Securities Act at an indeterminate aggregate offering price, as set forth in the Registration Statement, the base prospectus contained therein (the “Prospectus”) and any amendments or supplements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803910</wp:posOffset>
            </wp:positionV>
            <wp:extent cx="714375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5">
                      <a:extLst>
                        <a:ext uri="{28A0092B-C50C-407E-A947-70E740481C1C}"/>
                      </a:extLst>
                    </a:blip>
                    <a:srcRect/>
                    <a:stretch>
                      <a:fillRect/>
                    </a:stretch>
                  </pic:blipFill>
                  <pic:spPr bwMode="auto">
                    <a:xfrm>
                      <a:off x="0" y="0"/>
                      <a:ext cx="7143750" cy="7620"/>
                    </a:xfrm>
                    <a:prstGeom prst="rect">
                      <a:avLst/>
                    </a:prstGeom>
                    <a:noFill/>
                  </pic:spPr>
                </pic:pic>
              </a:graphicData>
            </a:graphic>
          </wp:anchor>
        </w:drawing>
        <w:drawing>
          <wp:anchor simplePos="0" relativeHeight="251657728" behindDoc="1" locked="0" layoutInCell="0" allowOverlap="1">
            <wp:simplePos x="0" y="0"/>
            <wp:positionH relativeFrom="column">
              <wp:posOffset>755650</wp:posOffset>
            </wp:positionH>
            <wp:positionV relativeFrom="paragraph">
              <wp:posOffset>87630</wp:posOffset>
            </wp:positionV>
            <wp:extent cx="5600065" cy="2914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6">
                      <a:extLst>
                        <a:ext uri="{28A0092B-C50C-407E-A947-70E740481C1C}"/>
                      </a:extLst>
                    </a:blip>
                    <a:srcRect/>
                    <a:stretch>
                      <a:fillRect/>
                    </a:stretch>
                  </pic:blipFill>
                  <pic:spPr bwMode="auto">
                    <a:xfrm>
                      <a:off x="0" y="0"/>
                      <a:ext cx="5600065" cy="29146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80" w:name="page181"/>
    <w:bookmarkEnd w:id="180"/>
    <w:p>
      <w:pPr>
        <w:ind w:firstLine="595"/>
        <w:spacing w:after="0" w:line="280" w:lineRule="auto"/>
        <w:rPr>
          <w:sz w:val="20"/>
          <w:szCs w:val="20"/>
          <w:color w:val="auto"/>
        </w:rPr>
      </w:pPr>
      <w:r>
        <w:rPr>
          <w:rFonts w:ascii="Arial" w:cs="Arial" w:eastAsia="Arial" w:hAnsi="Arial"/>
          <w:sz w:val="15"/>
          <w:szCs w:val="15"/>
          <w:color w:val="auto"/>
        </w:rPr>
        <w:t>We are acting as counsel for the Company in connection with the filing of the Registration Statement. The Senior Debt Securities may be issued pursuant to a senior indenture (the “Senior Indenture”) to be entered into between the Company and a trustee to be named, as trustee (the “Senior Trustee”) and duly qualified under the Trust Indenture Act of 1939, as amended (the “Trust Indenture Act”). The Subordinated Debt Securities may be issued pursuant to a subordinated indenture (the “Subordinated Indenture,” and together with the Senior Indenture, the “Indentures,” and each individually, an “Indenture”) to be entered into between the Company and a trustee to be named, as trustee (the “Subordinated Trustee” and together with the Senior Trustee, the “Trustees,” and each individually, a “Trustee”) and duly qualified under the Trust Indenture Act. The preferences, limitations and relative rights of shares of any series of Preferred Stock will be set forth in a Certificate of Designation (a “Certificate of Designation”). The Warrants may be issued pursuant to a warrant agreement (the “Warrant Agreement”) to be entered into between the Company and a bank or trust company to be named, as warrant agent. The Subscription Rights may be issued pursuant to a subscription rights certificate or subscription rights agreement to be entered into between the Company and a bank or trust company to be named, as subscription agent (the “Subscription Rights Agreement”). The shares of Preferred Stock represented by Depositary Shares will be deposited pursuant to a Depositary Agreement (the “Depositary Agreement”) to be entered into between the Company and a bank or trust company to be named, as depositary. The Units may be issued pursuant to a Unit Agreement (the “Unit Agreement”) to be entered into between the Company and a bank or trust company to be named, as unit agent.</w:t>
      </w:r>
    </w:p>
    <w:p>
      <w:pPr>
        <w:spacing w:after="0" w:line="165" w:lineRule="exact"/>
        <w:rPr>
          <w:sz w:val="20"/>
          <w:szCs w:val="20"/>
          <w:color w:val="auto"/>
        </w:rPr>
      </w:pPr>
    </w:p>
    <w:p>
      <w:pPr>
        <w:ind w:right="140" w:firstLine="595"/>
        <w:spacing w:after="0" w:line="249" w:lineRule="auto"/>
        <w:rPr>
          <w:sz w:val="20"/>
          <w:szCs w:val="20"/>
          <w:color w:val="auto"/>
        </w:rPr>
      </w:pPr>
      <w:r>
        <w:rPr>
          <w:rFonts w:ascii="Arial" w:cs="Arial" w:eastAsia="Arial" w:hAnsi="Arial"/>
          <w:sz w:val="17"/>
          <w:szCs w:val="17"/>
          <w:color w:val="auto"/>
        </w:rPr>
        <w:t>We have examined and relied upon signed copies of the Registration Statement to be filed with the Commission, including the exhibits thereto. We have also examined and relied upon the Certificate of Incorporation of the Company (as amended or restated from time to time, the “Certificate of Incorporation”), the Bylaws of the Company (as amended or restated from time to time, the “Bylaws”) and minutes of meetings of the stockholders and the Board of Directors of the Company as provided to us by the Company.</w:t>
      </w:r>
    </w:p>
    <w:p>
      <w:pPr>
        <w:spacing w:after="0" w:line="181" w:lineRule="exact"/>
        <w:rPr>
          <w:sz w:val="20"/>
          <w:szCs w:val="20"/>
          <w:color w:val="auto"/>
        </w:rPr>
      </w:pPr>
    </w:p>
    <w:p>
      <w:pPr>
        <w:ind w:right="60" w:firstLine="595"/>
        <w:spacing w:after="0" w:line="252" w:lineRule="auto"/>
        <w:rPr>
          <w:sz w:val="20"/>
          <w:szCs w:val="20"/>
          <w:color w:val="auto"/>
        </w:rPr>
      </w:pPr>
      <w:r>
        <w:rPr>
          <w:rFonts w:ascii="Arial" w:cs="Arial" w:eastAsia="Arial" w:hAnsi="Arial"/>
          <w:sz w:val="17"/>
          <w:szCs w:val="17"/>
          <w:color w:val="auto"/>
        </w:rPr>
        <w:t>In our examination of the foregoing documents, we have assumed the genuineness of all signatures, the legal capacity of all signatories, the authenticity of all documents submitted to us as originals, the conformity to original documents of all documents submitted to us as copies, the authenticity of such original documents and the completeness and accuracy of the corporate minute books of the Company.</w:t>
      </w:r>
    </w:p>
    <w:p>
      <w:pPr>
        <w:spacing w:after="0" w:line="178" w:lineRule="exact"/>
        <w:rPr>
          <w:sz w:val="20"/>
          <w:szCs w:val="20"/>
          <w:color w:val="auto"/>
        </w:rPr>
      </w:pPr>
    </w:p>
    <w:p>
      <w:pPr>
        <w:ind w:firstLine="595"/>
        <w:spacing w:after="0" w:line="279" w:lineRule="auto"/>
        <w:rPr>
          <w:sz w:val="20"/>
          <w:szCs w:val="20"/>
          <w:color w:val="auto"/>
        </w:rPr>
      </w:pPr>
      <w:r>
        <w:rPr>
          <w:rFonts w:ascii="Arial" w:cs="Arial" w:eastAsia="Arial" w:hAnsi="Arial"/>
          <w:sz w:val="15"/>
          <w:szCs w:val="15"/>
          <w:color w:val="auto"/>
        </w:rPr>
        <w:t>We have relied as to certain matters on information obtained from public officials and officers of the Company, and we have assumed that (i) the Registration Statement will be effective and will comply with all applicable laws at the time Securities are offered or issued as contemplated by the Registration Statement; (ii) one or more prospectus supplements and term sheets, as applicable will have been prepared and filed with the Commission describing the Securities offered thereby; (iii) all Securities will be issued and sold in compliance with applicable federal and state securities laws and in the manner stated in the Registration Statement, the Prospectus and any applicable prospectus supplement; (iv) in the case of Debt Securities, (a) the applicable Indenture will be duly authorized, executed and delivered by the applicable Trustee in substantially the form filed as Exhibit 4.3 or Exhibit 4.4 to the Registration Statement, (b) the applicable Trustee will be duly eligible to serve as trustee, and (c) the Debt Securities will be duly authenticated by the Trustee named in the applicable Indenture; (v) any Warrant Agreement, Subscription Rights Agreement, Depositary Agreement or Unit Agreement, as applicable, will be duly authorized, executed and delivered by all parties thereto other than the Company; (vi) a definitive purchase, underwriting or similar agreement with respect to any Securities offered will be duly authorized, executed and delivered by all parties thereto other than the Company; (vii) any Securities issuable upon conversion, exchange or exercise of any Security being offered will be duly authorized, created and, if appropriate, reserved for issuance upon such conversion, exchange or exercise; (viii) with respect to shares of Common Stock or Preferred Stock offered, there will be sufficient shares of Common Stock or Preferred Stock authorized under the Certificate of Incorporation and not otherwise reserved for issuance; (ix) if issued in certificated form, valid book-entry notations for the issuance of the Common Stock or the Preferred Stock will have been duly made in the share register of the Company; (x) at the time of the issuance and sale of the Securities, the Company will be validly existing as a corporation and in good standing under the laws of the State of Delaware; and (xi) any Warrant Agreement, Subscription Rights Agreement or Unit Agreement will be governed by the laws of the State of New York or Delaware.</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7">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20"/>
          </w:cols>
          <w:pgMar w:left="320" w:top="846" w:right="359" w:bottom="1440" w:gutter="0" w:footer="0" w:header="0"/>
        </w:sectPr>
      </w:pPr>
    </w:p>
    <w:bookmarkStart w:id="181" w:name="page182"/>
    <w:bookmarkEnd w:id="181"/>
    <w:p>
      <w:pPr>
        <w:ind w:right="80" w:firstLine="595"/>
        <w:spacing w:after="0" w:line="301" w:lineRule="auto"/>
        <w:rPr>
          <w:sz w:val="20"/>
          <w:szCs w:val="20"/>
          <w:color w:val="auto"/>
        </w:rPr>
      </w:pPr>
      <w:r>
        <w:rPr>
          <w:rFonts w:ascii="Arial" w:cs="Arial" w:eastAsia="Arial" w:hAnsi="Arial"/>
          <w:sz w:val="15"/>
          <w:szCs w:val="15"/>
          <w:color w:val="auto"/>
        </w:rPr>
        <w:t>We are expressing no opinion herein as to the application of any federal or state law or regulation to the power, authority or competence of any party to any agreement with respect to any of the Securities other than the Company. We have assumed that such agreements are, or will be, the valid and binding obligations of each party thereto other than the Company, and enforceable against each such other party in accordance with their respective terms.</w:t>
      </w:r>
    </w:p>
    <w:p>
      <w:pPr>
        <w:spacing w:after="0" w:line="145" w:lineRule="exact"/>
        <w:rPr>
          <w:sz w:val="20"/>
          <w:szCs w:val="20"/>
          <w:color w:val="auto"/>
        </w:rPr>
      </w:pPr>
    </w:p>
    <w:p>
      <w:pPr>
        <w:ind w:right="180" w:firstLine="595"/>
        <w:spacing w:after="0" w:line="301" w:lineRule="auto"/>
        <w:rPr>
          <w:sz w:val="20"/>
          <w:szCs w:val="20"/>
          <w:color w:val="auto"/>
        </w:rPr>
      </w:pPr>
      <w:r>
        <w:rPr>
          <w:rFonts w:ascii="Arial" w:cs="Arial" w:eastAsia="Arial" w:hAnsi="Arial"/>
          <w:sz w:val="15"/>
          <w:szCs w:val="15"/>
          <w:color w:val="auto"/>
        </w:rPr>
        <w:t>We have assumed for purposes of our opinions below that no authorization, approval or other action by, and no notice to or filing with, any governmental authority or regulatory body or any other third party is required for the due execution, delivery or performance by the Company, or, if any such authorization, approval, consent, action, notice or filing is required, it will have been duly obtained, taken, given or made and will be in full force and effect.</w:t>
      </w:r>
    </w:p>
    <w:p>
      <w:pPr>
        <w:spacing w:after="0" w:line="145" w:lineRule="exact"/>
        <w:rPr>
          <w:sz w:val="20"/>
          <w:szCs w:val="20"/>
          <w:color w:val="auto"/>
        </w:rPr>
      </w:pPr>
    </w:p>
    <w:p>
      <w:pPr>
        <w:ind w:right="100" w:firstLine="595"/>
        <w:spacing w:after="0" w:line="293" w:lineRule="auto"/>
        <w:rPr>
          <w:sz w:val="20"/>
          <w:szCs w:val="20"/>
          <w:color w:val="auto"/>
        </w:rPr>
      </w:pPr>
      <w:r>
        <w:rPr>
          <w:rFonts w:ascii="Arial" w:cs="Arial" w:eastAsia="Arial" w:hAnsi="Arial"/>
          <w:sz w:val="15"/>
          <w:szCs w:val="15"/>
          <w:color w:val="auto"/>
        </w:rPr>
        <w:t>We have also assumed that there will not have occurred, prior to the date of issuance of the Securities, any change in law affecting the validity or enforceability of such Securities and that at the time of the issuance and sale of such Securities, the Board of Directors of the Company (or any committee thereof acting pursuant to authority properly delegated to such committee by the Board of Directors of the Company or any committee of such Board of Directors) shall not have taken any action to rescind or otherwise reduce its prior authorization of the issuance of such Securities.</w:t>
      </w:r>
    </w:p>
    <w:p>
      <w:pPr>
        <w:spacing w:after="0" w:line="150" w:lineRule="exact"/>
        <w:rPr>
          <w:sz w:val="20"/>
          <w:szCs w:val="20"/>
          <w:color w:val="auto"/>
        </w:rPr>
      </w:pPr>
    </w:p>
    <w:p>
      <w:pPr>
        <w:ind w:firstLine="595"/>
        <w:spacing w:after="0" w:line="281" w:lineRule="auto"/>
        <w:rPr>
          <w:sz w:val="20"/>
          <w:szCs w:val="20"/>
          <w:color w:val="auto"/>
        </w:rPr>
      </w:pPr>
      <w:r>
        <w:rPr>
          <w:rFonts w:ascii="Arial" w:cs="Arial" w:eastAsia="Arial" w:hAnsi="Arial"/>
          <w:sz w:val="15"/>
          <w:szCs w:val="15"/>
          <w:color w:val="auto"/>
        </w:rPr>
        <w:t>Our opinions below are qualified to the extent that they may be subject to or affected by (i) applicable bankruptcy, insolvency, reorganization, receivership, moratorium, usury, fraudulent conveyance, fraudulent transfer or similar laws relating to or affecting the rights or remedies of creditors generally, (ii) duties and standards imposed on creditors and parties to contracts, including, without limitation, requirements of materiality, good faith, reasonableness and fair dealing, (iii) general equitable principles, and (iv) acceleration of the Debt Securities which may affect the collectability of that portion of the stated principal amount thereof that might be determined to constitute unearned interest thereon. Furthermore, we express no opinion as to the availability of any equitable or specific remedy upon any breach of any of the agreements as to which we are opining herein, or any of the agreements, documents or obligations referred to therein, or to the successful assertion of any equitable defenses, inasmuch as the availability of such remedies or the success of any equitable defenses may be subject to the discretion of a court. We also express no opinion herein as to the laws of any state or jurisdiction other than the state laws of the State of New York and the General Corporation Law of the State of Delaware. We also express no opinion herein with respect to compliance by the Company with the securities or “blue sky” laws of any state or other jurisdiction of the United States or of any foreign jurisdiction. We express no opinion and make no statement herein with respect to the antifraud laws of any jurisdiction.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8">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82" w:name="page183"/>
    <w:bookmarkEnd w:id="182"/>
    <w:p>
      <w:pPr>
        <w:ind w:firstLine="595"/>
        <w:spacing w:after="0" w:line="283" w:lineRule="auto"/>
        <w:rPr>
          <w:sz w:val="20"/>
          <w:szCs w:val="20"/>
          <w:color w:val="auto"/>
        </w:rPr>
      </w:pPr>
      <w:r>
        <w:rPr>
          <w:rFonts w:ascii="Arial" w:cs="Arial" w:eastAsia="Arial" w:hAnsi="Arial"/>
          <w:sz w:val="15"/>
          <w:szCs w:val="15"/>
          <w:color w:val="auto"/>
        </w:rPr>
        <w:t>We also express no opinion herein as to any provision of any agreement (i) that may be deemed to or construed to waive any right, defense or counterclaim of the Company, (ii) to the effect that rights and remedies are not exclusive, that every right or remedy is cumulative and may be exercised in addition to or with any other right or remedy and does not preclude recourse to one or more other rights or remedies, (iii) relating to the effect of invalidity or unenforceability of any provision of any agreement on the validity or enforceability of any other provision thereof, (iv) that is in violation of public policy, (v) relating to indemnification and contribution with respect to securities law matters, (vi) that provides that the terms of any agreement may not be waived or modified except in writing, (vii) purporting to indemnify any person against his, her or its own negligence or intentional misconduct, (viii) requiring the payment of penalties, consequential damages or liquidated damages or limiting a party’s recovery of certain damages or losses, (ix) purporting to establish evidentiary standards or regarding standards for exercising rights and remedies or (x) relating to choice of law or consent to jurisdiction.</w:t>
      </w:r>
    </w:p>
    <w:p>
      <w:pPr>
        <w:spacing w:after="0" w:line="15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Based upon and subject to the foregoing, we are of the opinion that:</w:t>
      </w:r>
    </w:p>
    <w:p>
      <w:pPr>
        <w:spacing w:after="0" w:line="201" w:lineRule="exact"/>
        <w:rPr>
          <w:sz w:val="20"/>
          <w:szCs w:val="20"/>
          <w:color w:val="auto"/>
        </w:rPr>
      </w:pPr>
    </w:p>
    <w:p>
      <w:pPr>
        <w:ind w:right="80" w:firstLine="595"/>
        <w:spacing w:after="0" w:line="282" w:lineRule="auto"/>
        <w:tabs>
          <w:tab w:leader="none" w:pos="1006" w:val="left"/>
        </w:tabs>
        <w:numPr>
          <w:ilvl w:val="0"/>
          <w:numId w:val="124"/>
        </w:numPr>
        <w:rPr>
          <w:rFonts w:ascii="Arial" w:cs="Arial" w:eastAsia="Arial" w:hAnsi="Arial"/>
          <w:sz w:val="15"/>
          <w:szCs w:val="15"/>
          <w:color w:val="auto"/>
        </w:rPr>
      </w:pPr>
      <w:r>
        <w:rPr>
          <w:rFonts w:ascii="Arial" w:cs="Arial" w:eastAsia="Arial" w:hAnsi="Arial"/>
          <w:sz w:val="15"/>
          <w:szCs w:val="15"/>
          <w:color w:val="auto"/>
        </w:rPr>
        <w:t>With respect to the Debt Securities, when (i) specifically authorized for issuance by proper action of the Board of Directors of the Company or an authorized committee thereof (the “Authorizing Resolutions”), (ii) the applicable Indenture has been duly authorized, executed and delivered by the Company, (iii) the terms of the Debt Securities and of their issuance and sale have been duly established in conformity with the applicable Indenture and the Authorizing Resolutions and assuming such terms and sale do not violate any applicable law or result in a default under or breach of any agreement or instrument binding upon IVERIC bio, Inc. and comply with any requirement or restriction imposed by any court or governmental body having jurisdiction over IVERIC bio, Inc., (iv) such Debt Securities have been duly executed by the Company and authenticated by the applicable Trustee in accordance with the applicable Indenture and delivered and sold as contemplated by the Registration Statement, the Prospectus and any applicable prospectus supplement in accordance with the applicable underwriting or other purchase agreement against payment therefor, and (v) the Company has received the consideration provided for in the Authorizing Resolutions and the applicable underwriting agreement or other purchase agreement, such Debt Securities will constitute valid and binding obligations of the Company enforceable against the Company in accordance with their terms.</w:t>
      </w:r>
    </w:p>
    <w:p>
      <w:pPr>
        <w:spacing w:after="0" w:line="358" w:lineRule="exact"/>
        <w:rPr>
          <w:rFonts w:ascii="Arial" w:cs="Arial" w:eastAsia="Arial" w:hAnsi="Arial"/>
          <w:sz w:val="15"/>
          <w:szCs w:val="15"/>
          <w:color w:val="auto"/>
        </w:rPr>
      </w:pPr>
    </w:p>
    <w:p>
      <w:pPr>
        <w:ind w:left="5580" w:hanging="94"/>
        <w:spacing w:after="0"/>
        <w:tabs>
          <w:tab w:leader="none" w:pos="558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9">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83" w:name="page184"/>
    <w:bookmarkEnd w:id="183"/>
    <w:p>
      <w:pPr>
        <w:ind w:left="-595" w:firstLine="595"/>
        <w:spacing w:after="0" w:line="310" w:lineRule="auto"/>
        <w:tabs>
          <w:tab w:leader="none" w:pos="411" w:val="left"/>
        </w:tabs>
        <w:numPr>
          <w:ilvl w:val="0"/>
          <w:numId w:val="125"/>
        </w:numPr>
        <w:rPr>
          <w:rFonts w:ascii="Arial" w:cs="Arial" w:eastAsia="Arial" w:hAnsi="Arial"/>
          <w:sz w:val="14"/>
          <w:szCs w:val="14"/>
          <w:color w:val="auto"/>
        </w:rPr>
      </w:pPr>
      <w:r>
        <w:rPr>
          <w:rFonts w:ascii="Arial" w:cs="Arial" w:eastAsia="Arial" w:hAnsi="Arial"/>
          <w:sz w:val="14"/>
          <w:szCs w:val="14"/>
          <w:color w:val="auto"/>
        </w:rPr>
        <w:t>With respect to shares of Common Stock, when (i) specifically authorized for issuance by Authorizing Resolutions, (ii) the terms of the issuance and sale of the Common Stock have been duly established in conformity with the Certificate of Incorporation, Bylaws and Authorizing Resolutions, (iii) the shares of Common Stock have been issued and delivered as contemplated by the Registration Statement, the Prospectus and any applicable prospectus supplement in accordance with the applicable underwriting or other purchase agreement or upon conversion or exercise of any Security offered under the Registration Statement against payment therefor, and (iv) the Company has received the consideration provided for in the Authorizing Resolutions and the applicable underwriting agreement or other purchase agreement and such consideration per share is not less than the par value per share of the Common Stock, the Common Stock will be validly issued, fully paid and nonassessable.</w:t>
      </w:r>
    </w:p>
    <w:p>
      <w:pPr>
        <w:spacing w:after="0" w:line="141" w:lineRule="exact"/>
        <w:rPr>
          <w:rFonts w:ascii="Arial" w:cs="Arial" w:eastAsia="Arial" w:hAnsi="Arial"/>
          <w:sz w:val="14"/>
          <w:szCs w:val="14"/>
          <w:color w:val="auto"/>
        </w:rPr>
      </w:pPr>
    </w:p>
    <w:p>
      <w:pPr>
        <w:ind w:left="-595" w:right="100" w:firstLine="595"/>
        <w:spacing w:after="0" w:line="282" w:lineRule="auto"/>
        <w:tabs>
          <w:tab w:leader="none" w:pos="411" w:val="left"/>
        </w:tabs>
        <w:numPr>
          <w:ilvl w:val="0"/>
          <w:numId w:val="125"/>
        </w:numPr>
        <w:rPr>
          <w:rFonts w:ascii="Arial" w:cs="Arial" w:eastAsia="Arial" w:hAnsi="Arial"/>
          <w:sz w:val="15"/>
          <w:szCs w:val="15"/>
          <w:color w:val="auto"/>
        </w:rPr>
      </w:pPr>
      <w:r>
        <w:rPr>
          <w:rFonts w:ascii="Arial" w:cs="Arial" w:eastAsia="Arial" w:hAnsi="Arial"/>
          <w:sz w:val="15"/>
          <w:szCs w:val="15"/>
          <w:color w:val="auto"/>
        </w:rPr>
        <w:t>With respect to shares of any series of Preferred Stock, when (i) the Authorizing Resolutions have specifically authorized the issuance and terms of the shares of the series, the terms of the offering thereof and related matters, including resolutions establishing and designating the series and fixing and determining the preferences, limitations and relative rights thereof and the filing of a Certificate of Designation with respect to the series with the Secretary of State of the State of Delaware, and such Certificate of Designation has been duly filed, (ii) the terms of the issuance and sale of the series of Preferred Stock have been duly established in conformity with the Certificate of Incorporation, Bylaws and Authorizing Resolutions, (iii) the shares of the series of Preferred Stock have been issued and delivered as contemplated by the Registration Statement, the Prospectus and any applicable prospectus supplement in accordance with the applicable underwriting or other purchase agreement against payment therefor, and (iv) the Company has received the consideration provided for in the Authorizing Resolutions and the applicable underwriting agreement or other purchase agreement and such consideration per share is not less than the par value per share of the Preferred Stock, the shares of such series of Preferred Stock will be validly issued, fully paid and nonassessable.</w:t>
      </w:r>
    </w:p>
    <w:p>
      <w:pPr>
        <w:spacing w:after="0" w:line="160" w:lineRule="exact"/>
        <w:rPr>
          <w:rFonts w:ascii="Arial" w:cs="Arial" w:eastAsia="Arial" w:hAnsi="Arial"/>
          <w:sz w:val="15"/>
          <w:szCs w:val="15"/>
          <w:color w:val="auto"/>
        </w:rPr>
      </w:pPr>
    </w:p>
    <w:p>
      <w:pPr>
        <w:ind w:left="-595" w:right="20" w:firstLine="595"/>
        <w:spacing w:after="0" w:line="284" w:lineRule="auto"/>
        <w:tabs>
          <w:tab w:leader="none" w:pos="411" w:val="left"/>
        </w:tabs>
        <w:numPr>
          <w:ilvl w:val="0"/>
          <w:numId w:val="125"/>
        </w:numPr>
        <w:rPr>
          <w:rFonts w:ascii="Arial" w:cs="Arial" w:eastAsia="Arial" w:hAnsi="Arial"/>
          <w:sz w:val="15"/>
          <w:szCs w:val="15"/>
          <w:color w:val="auto"/>
        </w:rPr>
      </w:pPr>
      <w:r>
        <w:rPr>
          <w:rFonts w:ascii="Arial" w:cs="Arial" w:eastAsia="Arial" w:hAnsi="Arial"/>
          <w:sz w:val="15"/>
          <w:szCs w:val="15"/>
          <w:color w:val="auto"/>
        </w:rPr>
        <w:t>With respect to the Warrants, when (i) specifically authorized for issuance by the Authorizing Resolutions, (ii) any applicable Warrant Agreement relating to the Warrants has been duly authorized, executed and delivered by the Company, (iii) the terms of the Warrants and of their issuance and sale have been duly established in conformity with any applicable Warrant Agreement and the Authorizing Resolutions, (iv) the Warrants have been duly executed by the Company and countersigned in accordance with any Warrant Agreement and Authorizing Resolutions and issued and delivered as contemplated by the Registration Statement, the Prospectus and any applicable prospectus supplement in accordance with the applicable underwriting or other purchase agreement against payment therefor, and (v) the Company has received the consideration provided for in the Authorizing Resolutions and the applicable underwriting agreement or other purchase agreement, such Warrants will constitute valid and binding obligations of the Company enforceable against the Company in accordance with their terms.</w:t>
      </w:r>
    </w:p>
    <w:p>
      <w:pPr>
        <w:spacing w:after="0" w:line="357" w:lineRule="exact"/>
        <w:rPr>
          <w:rFonts w:ascii="Arial" w:cs="Arial" w:eastAsia="Arial" w:hAnsi="Arial"/>
          <w:sz w:val="15"/>
          <w:szCs w:val="15"/>
          <w:color w:val="auto"/>
        </w:rPr>
      </w:pPr>
    </w:p>
    <w:p>
      <w:pPr>
        <w:ind w:left="4985" w:hanging="94"/>
        <w:spacing w:after="0"/>
        <w:tabs>
          <w:tab w:leader="none" w:pos="4985" w:val="left"/>
        </w:tabs>
        <w:numPr>
          <w:ilvl w:val="1"/>
          <w:numId w:val="125"/>
        </w:numPr>
        <w:rPr>
          <w:rFonts w:ascii="Arial" w:cs="Arial" w:eastAsia="Arial" w:hAnsi="Arial"/>
          <w:sz w:val="17"/>
          <w:szCs w:val="17"/>
          <w:color w:val="auto"/>
        </w:rPr>
      </w:pPr>
      <w:r>
        <w:rPr>
          <w:rFonts w:ascii="Arial" w:cs="Arial" w:eastAsia="Arial" w:hAnsi="Arial"/>
          <w:sz w:val="17"/>
          <w:szCs w:val="17"/>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9525</wp:posOffset>
            </wp:positionV>
            <wp:extent cx="7143750"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0">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0605"/>
          </w:cols>
          <w:pgMar w:left="915" w:top="847" w:right="379" w:bottom="1440" w:gutter="0" w:footer="0" w:header="0"/>
        </w:sectPr>
      </w:pPr>
    </w:p>
    <w:bookmarkStart w:id="184" w:name="page185"/>
    <w:bookmarkEnd w:id="184"/>
    <w:p>
      <w:pPr>
        <w:ind w:left="-595" w:right="40" w:firstLine="595"/>
        <w:spacing w:after="0" w:line="284" w:lineRule="auto"/>
        <w:tabs>
          <w:tab w:leader="none" w:pos="411" w:val="left"/>
        </w:tabs>
        <w:numPr>
          <w:ilvl w:val="0"/>
          <w:numId w:val="126"/>
        </w:numPr>
        <w:rPr>
          <w:rFonts w:ascii="Arial" w:cs="Arial" w:eastAsia="Arial" w:hAnsi="Arial"/>
          <w:sz w:val="15"/>
          <w:szCs w:val="15"/>
          <w:color w:val="auto"/>
        </w:rPr>
      </w:pPr>
      <w:r>
        <w:rPr>
          <w:rFonts w:ascii="Arial" w:cs="Arial" w:eastAsia="Arial" w:hAnsi="Arial"/>
          <w:sz w:val="15"/>
          <w:szCs w:val="15"/>
          <w:color w:val="auto"/>
        </w:rPr>
        <w:t>With respect to the Subscription Rights, when (i) specifically authorized for issuance by Authorizing Resolutions, (ii) any applicable Subscription Rights Agreement has been duly authorized, executed and delivered, (iii) the terms of the Subscription Rights and of their issuance and sale have been duly established in conformity with any applicable Subscription Rights Agreement and the Authorizing Resolutions, (iv) the Subscription Rights have been duly executed and delivered in accordance with any applicable Subscription Rights Agreement and issued and delivered as contemplated by the Registration Statement, the Prospectus and any applicable prospectus supplement in accordance with the applicable underwriting or other purchase agreement against payment therefor, and (v) the Company has received the consideration provided for in the Authorizing Resolutions and the applicable underwriting agreement or other purchase agreement, such Subscription Rights will constitute valid and binding obligations of the Company enforceable against the Company in accordance with their terms.</w:t>
      </w:r>
    </w:p>
    <w:p>
      <w:pPr>
        <w:spacing w:after="0" w:line="158" w:lineRule="exact"/>
        <w:rPr>
          <w:rFonts w:ascii="Arial" w:cs="Arial" w:eastAsia="Arial" w:hAnsi="Arial"/>
          <w:sz w:val="15"/>
          <w:szCs w:val="15"/>
          <w:color w:val="auto"/>
        </w:rPr>
      </w:pPr>
    </w:p>
    <w:p>
      <w:pPr>
        <w:ind w:left="-595" w:firstLine="595"/>
        <w:spacing w:after="0" w:line="281" w:lineRule="auto"/>
        <w:tabs>
          <w:tab w:leader="none" w:pos="411" w:val="left"/>
        </w:tabs>
        <w:numPr>
          <w:ilvl w:val="0"/>
          <w:numId w:val="126"/>
        </w:numPr>
        <w:rPr>
          <w:rFonts w:ascii="Arial" w:cs="Arial" w:eastAsia="Arial" w:hAnsi="Arial"/>
          <w:sz w:val="15"/>
          <w:szCs w:val="15"/>
          <w:color w:val="auto"/>
        </w:rPr>
      </w:pPr>
      <w:r>
        <w:rPr>
          <w:rFonts w:ascii="Arial" w:cs="Arial" w:eastAsia="Arial" w:hAnsi="Arial"/>
          <w:sz w:val="15"/>
          <w:szCs w:val="15"/>
          <w:color w:val="auto"/>
        </w:rPr>
        <w:t>With respect to the Depositary Shares, when (i) the Authorizing Resolutions have specifically authorized the issuance and terms of the Depositary Shares, the terms of the offering thereof and related matters, including the adoption of a Certificate of Designation relating to the Preferred Stock underlying the Depositary Shares and the filing of the Certificate of Designation with the Secretary of State of the State of Delaware, and such Certificate of Designation has been duly filed, (ii) the applicable Depositary Agreement relating to the Depositary Shares has been duly authorized, executed and delivered; any depositary receipts evidencing rights in the Depositary Shares have been executed; and the depositary appointed by the Company, (iii) the terms of the issuance and sale of the Depositary Shares have been duly established in conformity with the Certificate of Incorporation and Bylaws, (iv) the Depositary Shares have been issued and delivered as contemplated by the Registration Statement, the Prospectus and any applicable prospectus supplement in accordance with the applicable underwriting or other purchase agreement against payment therefor, (v) the shares of Preferred Stock underlying the Depositary Shares have been deposited with a bank or trust company (which meets the requirements for the depositary set forth in the Registration Statement), and (vi) the Company has received the consideration provided for in the Authorizing Resolutions and the applicable underwriting agreement or other purchase agreement, the Depositary Shares will be legally issued and will entitle the holders of such Depositary Shares to the rights specified in the applicable Depositary Agreement and the applicable depositary receipts.</w:t>
      </w:r>
    </w:p>
    <w:p>
      <w:pPr>
        <w:spacing w:after="0" w:line="159" w:lineRule="exact"/>
        <w:rPr>
          <w:rFonts w:ascii="Arial" w:cs="Arial" w:eastAsia="Arial" w:hAnsi="Arial"/>
          <w:sz w:val="15"/>
          <w:szCs w:val="15"/>
          <w:color w:val="auto"/>
        </w:rPr>
      </w:pPr>
    </w:p>
    <w:p>
      <w:pPr>
        <w:ind w:left="-595" w:right="120" w:firstLine="595"/>
        <w:spacing w:after="0" w:line="284" w:lineRule="auto"/>
        <w:tabs>
          <w:tab w:leader="none" w:pos="411" w:val="left"/>
        </w:tabs>
        <w:numPr>
          <w:ilvl w:val="0"/>
          <w:numId w:val="126"/>
        </w:numPr>
        <w:rPr>
          <w:rFonts w:ascii="Arial" w:cs="Arial" w:eastAsia="Arial" w:hAnsi="Arial"/>
          <w:sz w:val="15"/>
          <w:szCs w:val="15"/>
          <w:color w:val="auto"/>
        </w:rPr>
      </w:pPr>
      <w:r>
        <w:rPr>
          <w:rFonts w:ascii="Arial" w:cs="Arial" w:eastAsia="Arial" w:hAnsi="Arial"/>
          <w:sz w:val="15"/>
          <w:szCs w:val="15"/>
          <w:color w:val="auto"/>
        </w:rPr>
        <w:t>With respect to the Units, when (i) specifically authorized for issuance by the Authorizing Resolutions, (ii) any applicable Unit Agreement has been duly authorized, executed and delivered, (iii) the terms of the Units and of their issuance and sale have been duly established in conformity with any applicable Unit Agreement and the Authorizing Resolutions, (iv) the Units have been duly executed and delivered in accordance with any applicable Unit Agreement and issued and delivered as contemplated by the Registration Statement, the Prospectus and any applicable prospectus supplement in accordance with the applicable underwriting or other purchase agreement against payment therefor, and (v) the Company has received the consideration provided for in the Authorizing Resolutions and the applicable underwriting agreement or other purchase agreement, such Units will constitute valid and binding obligations of the Company enforceable against the Company in accordance with their terms.</w:t>
      </w:r>
    </w:p>
    <w:p>
      <w:pPr>
        <w:spacing w:after="0" w:line="357" w:lineRule="exact"/>
        <w:rPr>
          <w:rFonts w:ascii="Arial" w:cs="Arial" w:eastAsia="Arial" w:hAnsi="Arial"/>
          <w:sz w:val="15"/>
          <w:szCs w:val="15"/>
          <w:color w:val="auto"/>
        </w:rPr>
      </w:pPr>
    </w:p>
    <w:p>
      <w:pPr>
        <w:ind w:left="4985" w:hanging="94"/>
        <w:spacing w:after="0"/>
        <w:tabs>
          <w:tab w:leader="none" w:pos="4985" w:val="left"/>
        </w:tabs>
        <w:numPr>
          <w:ilvl w:val="1"/>
          <w:numId w:val="126"/>
        </w:numPr>
        <w:rPr>
          <w:rFonts w:ascii="Arial" w:cs="Arial" w:eastAsia="Arial" w:hAnsi="Arial"/>
          <w:sz w:val="17"/>
          <w:szCs w:val="17"/>
          <w:color w:val="auto"/>
        </w:rPr>
      </w:pPr>
      <w:r>
        <w:rPr>
          <w:rFonts w:ascii="Arial" w:cs="Arial" w:eastAsia="Arial" w:hAnsi="Arial"/>
          <w:sz w:val="17"/>
          <w:szCs w:val="17"/>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9525</wp:posOffset>
            </wp:positionV>
            <wp:extent cx="7143750"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1">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0645"/>
          </w:cols>
          <w:pgMar w:left="915" w:top="847" w:right="339" w:bottom="1440" w:gutter="0" w:footer="0" w:header="0"/>
        </w:sectPr>
      </w:pPr>
    </w:p>
    <w:bookmarkStart w:id="185" w:name="page186"/>
    <w:bookmarkEnd w:id="185"/>
    <w:p>
      <w:pPr>
        <w:ind w:right="60" w:firstLine="595"/>
        <w:spacing w:after="0" w:line="252" w:lineRule="auto"/>
        <w:rPr>
          <w:sz w:val="20"/>
          <w:szCs w:val="20"/>
          <w:color w:val="auto"/>
        </w:rPr>
      </w:pPr>
      <w:r>
        <w:rPr>
          <w:rFonts w:ascii="Arial" w:cs="Arial" w:eastAsia="Arial" w:hAnsi="Arial"/>
          <w:sz w:val="17"/>
          <w:szCs w:val="17"/>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78" w:lineRule="exact"/>
        <w:rPr>
          <w:sz w:val="20"/>
          <w:szCs w:val="20"/>
          <w:color w:val="auto"/>
        </w:rPr>
      </w:pPr>
    </w:p>
    <w:p>
      <w:pPr>
        <w:ind w:firstLine="595"/>
        <w:spacing w:after="0" w:line="249" w:lineRule="auto"/>
        <w:rPr>
          <w:sz w:val="20"/>
          <w:szCs w:val="20"/>
          <w:color w:val="auto"/>
        </w:rPr>
      </w:pPr>
      <w:r>
        <w:rPr>
          <w:rFonts w:ascii="Arial" w:cs="Arial" w:eastAsia="Arial" w:hAnsi="Arial"/>
          <w:sz w:val="17"/>
          <w:szCs w:val="17"/>
          <w:color w:val="auto"/>
        </w:rPr>
        <w:t>We hereby consent to the filing of this opinion with the Commission as an exhibit to the Registration Statement in accordance with the requirements of Item 601(b)(5) of Regulation S-K under the Securities Act and to the use of our name therein and in the related Prospectus and in any prospectus supplement under the caption “Legal Matters.” In giving such consent, we do not hereby admit that we are in the category of persons whose consent is required under Section 7 of the Securities Act or the rules and regulations of the Commission.</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Very truly yours,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WILMER CUTLER PICKERING</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HALE AND DORR LLP</w:t>
      </w:r>
    </w:p>
    <w:p>
      <w:pPr>
        <w:spacing w:after="0" w:line="251"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Brian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9525</wp:posOffset>
            </wp:positionV>
            <wp:extent cx="3213100"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2">
                      <a:extLst>
                        <a:ext uri="{28A0092B-C50C-407E-A947-70E740481C1C}"/>
                      </a:extLst>
                    </a:blip>
                    <a:srcRect/>
                    <a:stretch>
                      <a:fillRect/>
                    </a:stretch>
                  </pic:blipFill>
                  <pic:spPr bwMode="auto">
                    <a:xfrm>
                      <a:off x="0" y="0"/>
                      <a:ext cx="3213100" cy="7620"/>
                    </a:xfrm>
                    <a:prstGeom prst="rect">
                      <a:avLst/>
                    </a:prstGeom>
                    <a:noFill/>
                  </pic:spPr>
                </pic:pic>
              </a:graphicData>
            </a:graphic>
          </wp:anchor>
        </w:drawing>
      </w:r>
    </w:p>
    <w:p>
      <w:pPr>
        <w:spacing w:after="0" w:line="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Brian A. Johnson, a Partner</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3">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20"/>
          </w:cols>
          <w:pgMar w:left="320" w:top="846" w:right="359" w:bottom="1440" w:gutter="0" w:footer="0" w:header="0"/>
        </w:sectPr>
      </w:pPr>
    </w:p>
    <w:bookmarkStart w:id="186" w:name="page187"/>
    <w:bookmarkEnd w:id="186"/>
    <w:p>
      <w:pPr>
        <w:jc w:val="right"/>
        <w:spacing w:after="0"/>
        <w:rPr>
          <w:sz w:val="20"/>
          <w:szCs w:val="20"/>
          <w:color w:val="auto"/>
        </w:rPr>
      </w:pPr>
      <w:r>
        <w:rPr>
          <w:rFonts w:ascii="Arial" w:cs="Arial" w:eastAsia="Arial" w:hAnsi="Arial"/>
          <w:sz w:val="17"/>
          <w:szCs w:val="17"/>
          <w:b w:val="1"/>
          <w:bCs w:val="1"/>
          <w:color w:val="auto"/>
        </w:rPr>
        <w:t>Exhibit 23.1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5" w:lineRule="exact"/>
        <w:rPr>
          <w:sz w:val="20"/>
          <w:szCs w:val="20"/>
          <w:color w:val="auto"/>
        </w:rPr>
      </w:pPr>
    </w:p>
    <w:p>
      <w:pPr>
        <w:ind w:right="100"/>
        <w:spacing w:after="0" w:line="319" w:lineRule="auto"/>
        <w:rPr>
          <w:sz w:val="20"/>
          <w:szCs w:val="20"/>
          <w:color w:val="auto"/>
        </w:rPr>
      </w:pPr>
      <w:r>
        <w:rPr>
          <w:rFonts w:ascii="Arial" w:cs="Arial" w:eastAsia="Arial" w:hAnsi="Arial"/>
          <w:sz w:val="14"/>
          <w:szCs w:val="14"/>
          <w:color w:val="auto"/>
        </w:rPr>
        <w:t>We consent to the reference to our firm under the caption “Experts” in the Registration Statement (Form S-3) and related Prospectus of IVERIC bio, Inc. for the registration of its debt securities, common stock, preferred stock, warrants, subscriptions rights, depository shares and units and to the incorporation by reference therein of our reports dated March 4, 2021, with respect to the consolidated financial statements of IVERIC bio, Inc., and the effectiveness of internal control over financial reporting of IVERIC bio, Inc., included in its Annual Report (Form 10-K) for the year ended December 31, 2020, filed with the Securities and Exchange Commission.</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Iselin, New Jersey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October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522605</wp:posOffset>
            </wp:positionV>
            <wp:extent cx="7143750"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4">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sectPr>
      <w:pgSz w:w="11900" w:h="16838" w:orient="portrait"/>
      <w:cols w:equalWidth="0" w:num="1">
        <w:col w:w="11240"/>
      </w:cols>
      <w:pgMar w:left="320" w:top="3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BE4F1"/>
    <w:multiLevelType w:val="hybridMultilevel"/>
    <w:lvl w:ilvl="0">
      <w:lvlJc w:val="left"/>
      <w:lvlText w:val="(%1)"/>
      <w:numFmt w:val="decimal"/>
      <w:start w:val="1"/>
    </w:lvl>
  </w:abstractNum>
  <w:abstractNum w:abstractNumId="1">
    <w:nsid w:val="310C50B3"/>
    <w:multiLevelType w:val="hybridMultilevel"/>
    <w:lvl w:ilvl="0">
      <w:lvlJc w:val="left"/>
      <w:lvlText w:val="•"/>
      <w:numFmt w:val="bullet"/>
      <w:start w:val="1"/>
    </w:lvl>
  </w:abstractNum>
  <w:abstractNum w:abstractNumId="2">
    <w:nsid w:val="5FF87E05"/>
    <w:multiLevelType w:val="hybridMultilevel"/>
    <w:lvl w:ilvl="0">
      <w:lvlJc w:val="left"/>
      <w:lvlText w:val="•"/>
      <w:numFmt w:val="bullet"/>
      <w:start w:val="1"/>
    </w:lvl>
  </w:abstractNum>
  <w:abstractNum w:abstractNumId="3">
    <w:nsid w:val="2F305DEF"/>
    <w:multiLevelType w:val="hybridMultilevel"/>
    <w:lvl w:ilvl="0">
      <w:lvlJc w:val="left"/>
      <w:lvlText w:val="•"/>
      <w:numFmt w:val="bullet"/>
      <w:start w:val="1"/>
    </w:lvl>
  </w:abstractNum>
  <w:abstractNum w:abstractNumId="4">
    <w:nsid w:val="25A70BF7"/>
    <w:multiLevelType w:val="hybridMultilevel"/>
    <w:lvl w:ilvl="0">
      <w:lvlJc w:val="left"/>
      <w:lvlText w:val="•"/>
      <w:numFmt w:val="bullet"/>
      <w:start w:val="1"/>
    </w:lvl>
  </w:abstractNum>
  <w:abstractNum w:abstractNumId="5">
    <w:nsid w:val="1DBABF00"/>
    <w:multiLevelType w:val="hybridMultilevel"/>
    <w:lvl w:ilvl="0">
      <w:lvlJc w:val="left"/>
      <w:lvlText w:val="•"/>
      <w:numFmt w:val="bullet"/>
      <w:start w:val="1"/>
    </w:lvl>
  </w:abstractNum>
  <w:abstractNum w:abstractNumId="6">
    <w:nsid w:val="4AD084E9"/>
    <w:multiLevelType w:val="hybridMultilevel"/>
    <w:lvl w:ilvl="0">
      <w:lvlJc w:val="left"/>
      <w:lvlText w:val="•"/>
      <w:numFmt w:val="bullet"/>
      <w:start w:val="1"/>
    </w:lvl>
  </w:abstractNum>
  <w:abstractNum w:abstractNumId="7">
    <w:nsid w:val="1F48EAA1"/>
    <w:multiLevelType w:val="hybridMultilevel"/>
    <w:lvl w:ilvl="0">
      <w:lvlJc w:val="left"/>
      <w:lvlText w:val="•"/>
      <w:numFmt w:val="bullet"/>
      <w:start w:val="1"/>
    </w:lvl>
  </w:abstractNum>
  <w:abstractNum w:abstractNumId="8">
    <w:nsid w:val="1381823A"/>
    <w:multiLevelType w:val="hybridMultilevel"/>
    <w:lvl w:ilvl="0">
      <w:lvlJc w:val="left"/>
      <w:lvlText w:val="•"/>
      <w:numFmt w:val="bullet"/>
      <w:start w:val="1"/>
    </w:lvl>
  </w:abstractNum>
  <w:abstractNum w:abstractNumId="9">
    <w:nsid w:val="5DB70AE5"/>
    <w:multiLevelType w:val="hybridMultilevel"/>
    <w:lvl w:ilvl="0">
      <w:lvlJc w:val="left"/>
      <w:lvlText w:val="•"/>
      <w:numFmt w:val="bullet"/>
      <w:start w:val="1"/>
    </w:lvl>
  </w:abstractNum>
  <w:abstractNum w:abstractNumId="10">
    <w:nsid w:val="100F8FCA"/>
    <w:multiLevelType w:val="hybridMultilevel"/>
    <w:lvl w:ilvl="0">
      <w:lvlJc w:val="left"/>
      <w:lvlText w:val="•"/>
      <w:numFmt w:val="bullet"/>
      <w:start w:val="1"/>
    </w:lvl>
  </w:abstractNum>
  <w:abstractNum w:abstractNumId="11">
    <w:nsid w:val="6590700B"/>
    <w:multiLevelType w:val="hybridMultilevel"/>
    <w:lvl w:ilvl="0">
      <w:lvlJc w:val="left"/>
      <w:lvlText w:val="•"/>
      <w:numFmt w:val="bullet"/>
      <w:start w:val="1"/>
    </w:lvl>
  </w:abstractNum>
  <w:abstractNum w:abstractNumId="12">
    <w:nsid w:val="15014ACB"/>
    <w:multiLevelType w:val="hybridMultilevel"/>
    <w:lvl w:ilvl="0">
      <w:lvlJc w:val="left"/>
      <w:lvlText w:val="•"/>
      <w:numFmt w:val="bullet"/>
      <w:start w:val="1"/>
    </w:lvl>
  </w:abstractNum>
  <w:abstractNum w:abstractNumId="13">
    <w:nsid w:val="5F5E7FD0"/>
    <w:multiLevelType w:val="hybridMultilevel"/>
    <w:lvl w:ilvl="0">
      <w:lvlJc w:val="left"/>
      <w:lvlText w:val="•"/>
      <w:numFmt w:val="bullet"/>
      <w:start w:val="1"/>
    </w:lvl>
  </w:abstractNum>
  <w:abstractNum w:abstractNumId="14">
    <w:nsid w:val="98A3148"/>
    <w:multiLevelType w:val="hybridMultilevel"/>
    <w:lvl w:ilvl="0">
      <w:lvlJc w:val="left"/>
      <w:lvlText w:val="•"/>
      <w:numFmt w:val="bullet"/>
      <w:start w:val="1"/>
    </w:lvl>
  </w:abstractNum>
  <w:abstractNum w:abstractNumId="15">
    <w:nsid w:val="799D0247"/>
    <w:multiLevelType w:val="hybridMultilevel"/>
    <w:lvl w:ilvl="0">
      <w:lvlJc w:val="left"/>
      <w:lvlText w:val="•"/>
      <w:numFmt w:val="bullet"/>
      <w:start w:val="1"/>
    </w:lvl>
  </w:abstractNum>
  <w:abstractNum w:abstractNumId="16">
    <w:nsid w:val="6B94764"/>
    <w:multiLevelType w:val="hybridMultilevel"/>
    <w:lvl w:ilvl="0">
      <w:lvlJc w:val="left"/>
      <w:lvlText w:val="•"/>
      <w:numFmt w:val="bullet"/>
      <w:start w:val="1"/>
    </w:lvl>
  </w:abstractNum>
  <w:abstractNum w:abstractNumId="17">
    <w:nsid w:val="42C296BD"/>
    <w:multiLevelType w:val="hybridMultilevel"/>
    <w:lvl w:ilvl="0">
      <w:lvlJc w:val="left"/>
      <w:lvlText w:val="•"/>
      <w:numFmt w:val="bullet"/>
      <w:start w:val="1"/>
    </w:lvl>
  </w:abstractNum>
  <w:abstractNum w:abstractNumId="18">
    <w:nsid w:val="168E121F"/>
    <w:multiLevelType w:val="hybridMultilevel"/>
    <w:lvl w:ilvl="0">
      <w:lvlJc w:val="left"/>
      <w:lvlText w:val="•"/>
      <w:numFmt w:val="bullet"/>
      <w:start w:val="1"/>
    </w:lvl>
  </w:abstractNum>
  <w:abstractNum w:abstractNumId="19">
    <w:nsid w:val="1EBA5D23"/>
    <w:multiLevelType w:val="hybridMultilevel"/>
    <w:lvl w:ilvl="0">
      <w:lvlJc w:val="left"/>
      <w:lvlText w:val="•"/>
      <w:numFmt w:val="bullet"/>
      <w:start w:val="1"/>
    </w:lvl>
  </w:abstractNum>
  <w:abstractNum w:abstractNumId="20">
    <w:nsid w:val="661E3F1E"/>
    <w:multiLevelType w:val="hybridMultilevel"/>
    <w:lvl w:ilvl="0">
      <w:lvlJc w:val="left"/>
      <w:lvlText w:val="•"/>
      <w:numFmt w:val="bullet"/>
      <w:start w:val="1"/>
    </w:lvl>
  </w:abstractNum>
  <w:abstractNum w:abstractNumId="21">
    <w:nsid w:val="5DC79EA8"/>
    <w:multiLevelType w:val="hybridMultilevel"/>
    <w:lvl w:ilvl="0">
      <w:lvlJc w:val="left"/>
      <w:lvlText w:val="•"/>
      <w:numFmt w:val="bullet"/>
      <w:start w:val="1"/>
    </w:lvl>
  </w:abstractNum>
  <w:abstractNum w:abstractNumId="22">
    <w:nsid w:val="540A471C"/>
    <w:multiLevelType w:val="hybridMultilevel"/>
    <w:lvl w:ilvl="0">
      <w:lvlJc w:val="left"/>
      <w:lvlText w:val="•"/>
      <w:numFmt w:val="bullet"/>
      <w:start w:val="1"/>
    </w:lvl>
  </w:abstractNum>
  <w:abstractNum w:abstractNumId="23">
    <w:nsid w:val="7BD3EE7B"/>
    <w:multiLevelType w:val="hybridMultilevel"/>
    <w:lvl w:ilvl="0">
      <w:lvlJc w:val="left"/>
      <w:lvlText w:val="•"/>
      <w:numFmt w:val="bullet"/>
      <w:start w:val="1"/>
    </w:lvl>
  </w:abstractNum>
  <w:abstractNum w:abstractNumId="24">
    <w:nsid w:val="51D9C564"/>
    <w:multiLevelType w:val="hybridMultilevel"/>
    <w:lvl w:ilvl="0">
      <w:lvlJc w:val="left"/>
      <w:lvlText w:val="•"/>
      <w:numFmt w:val="bullet"/>
      <w:start w:val="1"/>
    </w:lvl>
  </w:abstractNum>
  <w:abstractNum w:abstractNumId="25">
    <w:nsid w:val="613EFDC5"/>
    <w:multiLevelType w:val="hybridMultilevel"/>
    <w:lvl w:ilvl="0">
      <w:lvlJc w:val="left"/>
      <w:lvlText w:val="•"/>
      <w:numFmt w:val="bullet"/>
      <w:start w:val="1"/>
    </w:lvl>
  </w:abstractNum>
  <w:abstractNum w:abstractNumId="26">
    <w:nsid w:val="BF72B14"/>
    <w:multiLevelType w:val="hybridMultilevel"/>
    <w:lvl w:ilvl="0">
      <w:lvlJc w:val="left"/>
      <w:lvlText w:val="•"/>
      <w:numFmt w:val="bullet"/>
      <w:start w:val="1"/>
    </w:lvl>
  </w:abstractNum>
  <w:abstractNum w:abstractNumId="27">
    <w:nsid w:val="11447B73"/>
    <w:multiLevelType w:val="hybridMultilevel"/>
    <w:lvl w:ilvl="0">
      <w:lvlJc w:val="left"/>
      <w:lvlText w:val="•"/>
      <w:numFmt w:val="bullet"/>
      <w:start w:val="1"/>
    </w:lvl>
  </w:abstractNum>
  <w:abstractNum w:abstractNumId="28">
    <w:nsid w:val="42963E5A"/>
    <w:multiLevelType w:val="hybridMultilevel"/>
    <w:lvl w:ilvl="0">
      <w:lvlJc w:val="left"/>
      <w:lvlText w:val="•"/>
      <w:numFmt w:val="bullet"/>
      <w:start w:val="1"/>
    </w:lvl>
  </w:abstractNum>
  <w:abstractNum w:abstractNumId="29">
    <w:nsid w:val="A0382C5"/>
    <w:multiLevelType w:val="hybridMultilevel"/>
    <w:lvl w:ilvl="0">
      <w:lvlJc w:val="left"/>
      <w:lvlText w:val="•"/>
      <w:numFmt w:val="bullet"/>
      <w:start w:val="1"/>
    </w:lvl>
  </w:abstractNum>
  <w:abstractNum w:abstractNumId="30">
    <w:nsid w:val="8F2B15E"/>
    <w:multiLevelType w:val="hybridMultilevel"/>
    <w:lvl w:ilvl="0">
      <w:lvlJc w:val="left"/>
      <w:lvlText w:val="•"/>
      <w:numFmt w:val="bullet"/>
      <w:start w:val="1"/>
    </w:lvl>
  </w:abstractNum>
  <w:abstractNum w:abstractNumId="31">
    <w:nsid w:val="1A32234B"/>
    <w:multiLevelType w:val="hybridMultilevel"/>
    <w:lvl w:ilvl="0">
      <w:lvlJc w:val="left"/>
      <w:lvlText w:val="•"/>
      <w:numFmt w:val="bullet"/>
      <w:start w:val="1"/>
    </w:lvl>
  </w:abstractNum>
  <w:abstractNum w:abstractNumId="32">
    <w:nsid w:val="3B0FD379"/>
    <w:multiLevelType w:val="hybridMultilevel"/>
    <w:lvl w:ilvl="0">
      <w:lvlJc w:val="left"/>
      <w:lvlText w:val="•"/>
      <w:numFmt w:val="bullet"/>
      <w:start w:val="1"/>
    </w:lvl>
  </w:abstractNum>
  <w:abstractNum w:abstractNumId="33">
    <w:nsid w:val="68EB2F63"/>
    <w:multiLevelType w:val="hybridMultilevel"/>
    <w:lvl w:ilvl="0">
      <w:lvlJc w:val="left"/>
      <w:lvlText w:val="•"/>
      <w:numFmt w:val="bullet"/>
      <w:start w:val="1"/>
    </w:lvl>
  </w:abstractNum>
  <w:abstractNum w:abstractNumId="34">
    <w:nsid w:val="4962813B"/>
    <w:multiLevelType w:val="hybridMultilevel"/>
    <w:lvl w:ilvl="0">
      <w:lvlJc w:val="left"/>
      <w:lvlText w:val="•"/>
      <w:numFmt w:val="bullet"/>
      <w:start w:val="1"/>
    </w:lvl>
  </w:abstractNum>
  <w:abstractNum w:abstractNumId="35">
    <w:nsid w:val="60B6DF70"/>
    <w:multiLevelType w:val="hybridMultilevel"/>
    <w:lvl w:ilvl="0">
      <w:lvlJc w:val="left"/>
      <w:lvlText w:val="•"/>
      <w:numFmt w:val="bullet"/>
      <w:start w:val="1"/>
    </w:lvl>
  </w:abstractNum>
  <w:abstractNum w:abstractNumId="36">
    <w:nsid w:val="6A5EE64"/>
    <w:multiLevelType w:val="hybridMultilevel"/>
    <w:lvl w:ilvl="0">
      <w:lvlJc w:val="left"/>
      <w:lvlText w:val="•"/>
      <w:numFmt w:val="bullet"/>
      <w:start w:val="1"/>
    </w:lvl>
  </w:abstractNum>
  <w:abstractNum w:abstractNumId="37">
    <w:nsid w:val="14330624"/>
    <w:multiLevelType w:val="hybridMultilevel"/>
    <w:lvl w:ilvl="0">
      <w:lvlJc w:val="left"/>
      <w:lvlText w:val="(%1)"/>
      <w:numFmt w:val="decimal"/>
      <w:start w:val="1"/>
    </w:lvl>
  </w:abstractNum>
  <w:abstractNum w:abstractNumId="38">
    <w:nsid w:val="7FFFCA11"/>
    <w:multiLevelType w:val="hybridMultilevel"/>
    <w:lvl w:ilvl="0">
      <w:lvlJc w:val="left"/>
      <w:lvlText w:val="*"/>
      <w:numFmt w:val="bullet"/>
      <w:start w:val="1"/>
    </w:lvl>
  </w:abstractNum>
  <w:abstractNum w:abstractNumId="39">
    <w:nsid w:val="1A27709E"/>
    <w:multiLevelType w:val="hybridMultilevel"/>
    <w:lvl w:ilvl="0">
      <w:lvlJc w:val="left"/>
      <w:lvlText w:val="(%1)"/>
      <w:numFmt w:val="lowerRoman"/>
      <w:start w:val="1"/>
    </w:lvl>
  </w:abstractNum>
  <w:abstractNum w:abstractNumId="40">
    <w:nsid w:val="71EA1109"/>
    <w:multiLevelType w:val="hybridMultilevel"/>
    <w:lvl w:ilvl="0">
      <w:lvlJc w:val="left"/>
      <w:lvlText w:val="(%1)"/>
      <w:numFmt w:val="decimal"/>
      <w:start w:val="2"/>
    </w:lvl>
  </w:abstractNum>
  <w:abstractNum w:abstractNumId="41">
    <w:nsid w:val="100F59DC"/>
    <w:multiLevelType w:val="hybridMultilevel"/>
    <w:lvl w:ilvl="0">
      <w:lvlJc w:val="left"/>
      <w:lvlText w:val="(%1)"/>
      <w:numFmt w:val="decimal"/>
      <w:start w:val="3"/>
    </w:lvl>
    <w:lvl w:ilvl="1">
      <w:lvlJc w:val="left"/>
      <w:lvlText w:val="(%2)"/>
      <w:numFmt w:val="lowerRoman"/>
      <w:start w:val="1"/>
    </w:lvl>
  </w:abstractNum>
  <w:abstractNum w:abstractNumId="42">
    <w:nsid w:val="7FB7E0AA"/>
    <w:multiLevelType w:val="hybridMultilevel"/>
    <w:lvl w:ilvl="0">
      <w:lvlJc w:val="left"/>
      <w:lvlText w:val="%1"/>
      <w:numFmt w:val="lowerLetter"/>
      <w:start w:val="1"/>
    </w:lvl>
    <w:lvl w:ilvl="1">
      <w:lvlJc w:val="left"/>
      <w:lvlText w:val="(%2)"/>
      <w:numFmt w:val="lowerLetter"/>
      <w:start w:val="35"/>
    </w:lvl>
  </w:abstractNum>
  <w:abstractNum w:abstractNumId="43">
    <w:nsid w:val="6EB5BD4"/>
    <w:multiLevelType w:val="hybridMultilevel"/>
    <w:lvl w:ilvl="0">
      <w:lvlJc w:val="left"/>
      <w:lvlText w:val="(%1)"/>
      <w:numFmt w:val="lowerLetter"/>
      <w:start w:val="2"/>
    </w:lvl>
    <w:lvl w:ilvl="1">
      <w:lvlJc w:val="left"/>
      <w:lvlText w:val="%2"/>
      <w:numFmt w:val="lowerLetter"/>
      <w:start w:val="1"/>
    </w:lvl>
  </w:abstractNum>
  <w:abstractNum w:abstractNumId="44">
    <w:nsid w:val="6F6DD9AC"/>
    <w:multiLevelType w:val="hybridMultilevel"/>
    <w:lvl w:ilvl="0">
      <w:lvlJc w:val="left"/>
      <w:lvlText w:val="1"/>
      <w:numFmt w:val="bullet"/>
      <w:start w:val="1"/>
    </w:lvl>
  </w:abstractNum>
  <w:abstractNum w:abstractNumId="45">
    <w:nsid w:val="94211F2"/>
    <w:multiLevelType w:val="hybridMultilevel"/>
    <w:lvl w:ilvl="0">
      <w:lvlJc w:val="left"/>
      <w:lvlText w:val="(%1)"/>
      <w:numFmt w:val="lowerLetter"/>
      <w:start w:val="1"/>
    </w:lvl>
  </w:abstractNum>
  <w:abstractNum w:abstractNumId="46">
    <w:nsid w:val="885E1B"/>
    <w:multiLevelType w:val="hybridMultilevel"/>
    <w:lvl w:ilvl="0">
      <w:lvlJc w:val="left"/>
      <w:lvlText w:val="(%1)"/>
      <w:numFmt w:val="lowerLetter"/>
      <w:start w:val="3"/>
    </w:lvl>
  </w:abstractNum>
  <w:abstractNum w:abstractNumId="47">
    <w:nsid w:val="76272110"/>
    <w:multiLevelType w:val="hybridMultilevel"/>
    <w:lvl w:ilvl="0">
      <w:lvlJc w:val="left"/>
      <w:lvlText w:val="(%1)"/>
      <w:numFmt w:val="lowerLetter"/>
      <w:start w:val="1"/>
    </w:lvl>
  </w:abstractNum>
  <w:abstractNum w:abstractNumId="48">
    <w:nsid w:val="4C04A8AF"/>
    <w:multiLevelType w:val="hybridMultilevel"/>
    <w:lvl w:ilvl="0">
      <w:lvlJc w:val="left"/>
      <w:lvlText w:val="(%1)"/>
      <w:numFmt w:val="lowerLetter"/>
      <w:start w:val="11"/>
    </w:lvl>
  </w:abstractNum>
  <w:abstractNum w:abstractNumId="49">
    <w:nsid w:val="1716703B"/>
    <w:multiLevelType w:val="hybridMultilevel"/>
    <w:lvl w:ilvl="0">
      <w:lvlJc w:val="left"/>
      <w:lvlText w:val="(%1)"/>
      <w:numFmt w:val="lowerLetter"/>
      <w:start w:val="1"/>
    </w:lvl>
    <w:lvl w:ilvl="1">
      <w:lvlJc w:val="left"/>
      <w:lvlText w:val="(%2)"/>
      <w:numFmt w:val="lowerRoman"/>
      <w:start w:val="1"/>
    </w:lvl>
  </w:abstractNum>
  <w:abstractNum w:abstractNumId="50">
    <w:nsid w:val="14E17E33"/>
    <w:multiLevelType w:val="hybridMultilevel"/>
    <w:lvl w:ilvl="0">
      <w:lvlJc w:val="left"/>
      <w:lvlText w:val="(%1)"/>
      <w:numFmt w:val="lowerRoman"/>
      <w:start w:val="1"/>
    </w:lvl>
  </w:abstractNum>
  <w:abstractNum w:abstractNumId="51">
    <w:nsid w:val="3222E7CD"/>
    <w:multiLevelType w:val="hybridMultilevel"/>
    <w:lvl w:ilvl="0">
      <w:lvlJc w:val="left"/>
      <w:lvlText w:val="(%1)"/>
      <w:numFmt w:val="lowerLetter"/>
      <w:start w:val="1"/>
    </w:lvl>
  </w:abstractNum>
  <w:abstractNum w:abstractNumId="52">
    <w:nsid w:val="74DE0EE3"/>
    <w:multiLevelType w:val="hybridMultilevel"/>
    <w:lvl w:ilvl="0">
      <w:lvlJc w:val="left"/>
      <w:lvlText w:val="(%1)"/>
      <w:numFmt w:val="lowerLetter"/>
      <w:start w:val="2"/>
    </w:lvl>
  </w:abstractNum>
  <w:abstractNum w:abstractNumId="53">
    <w:nsid w:val="68EBC550"/>
    <w:multiLevelType w:val="hybridMultilevel"/>
    <w:lvl w:ilvl="0">
      <w:lvlJc w:val="left"/>
      <w:lvlText w:val="(%1)"/>
      <w:numFmt w:val="lowerLetter"/>
      <w:start w:val="1"/>
    </w:lvl>
  </w:abstractNum>
  <w:abstractNum w:abstractNumId="54">
    <w:nsid w:val="2DF6D648"/>
    <w:multiLevelType w:val="hybridMultilevel"/>
    <w:lvl w:ilvl="0">
      <w:lvlJc w:val="left"/>
      <w:lvlText w:val="(%1)"/>
      <w:numFmt w:val="lowerLetter"/>
      <w:start w:val="2"/>
    </w:lvl>
  </w:abstractNum>
  <w:abstractNum w:abstractNumId="55">
    <w:nsid w:val="46B7D447"/>
    <w:multiLevelType w:val="hybridMultilevel"/>
    <w:lvl w:ilvl="0">
      <w:lvlJc w:val="left"/>
      <w:lvlText w:val="(%1)"/>
      <w:numFmt w:val="lowerLetter"/>
      <w:start w:val="1"/>
    </w:lvl>
  </w:abstractNum>
  <w:abstractNum w:abstractNumId="56">
    <w:nsid w:val="4A2AC315"/>
    <w:multiLevelType w:val="hybridMultilevel"/>
    <w:lvl w:ilvl="0">
      <w:lvlJc w:val="left"/>
      <w:lvlText w:val="(%1)"/>
      <w:numFmt w:val="lowerLetter"/>
      <w:start w:val="2"/>
    </w:lvl>
  </w:abstractNum>
  <w:abstractNum w:abstractNumId="57">
    <w:nsid w:val="39EE015C"/>
    <w:multiLevelType w:val="hybridMultilevel"/>
    <w:lvl w:ilvl="0">
      <w:lvlJc w:val="left"/>
      <w:lvlText w:val="(%1)"/>
      <w:numFmt w:val="lowerRoman"/>
      <w:start w:val="1"/>
    </w:lvl>
  </w:abstractNum>
  <w:abstractNum w:abstractNumId="58">
    <w:nsid w:val="57FC4FBB"/>
    <w:multiLevelType w:val="hybridMultilevel"/>
    <w:lvl w:ilvl="0">
      <w:lvlJc w:val="left"/>
      <w:lvlText w:val="(%1)"/>
      <w:numFmt w:val="lowerRoman"/>
      <w:start w:val="2"/>
    </w:lvl>
  </w:abstractNum>
  <w:abstractNum w:abstractNumId="59">
    <w:nsid w:val="CC1016F"/>
    <w:multiLevelType w:val="hybridMultilevel"/>
    <w:lvl w:ilvl="0">
      <w:lvlJc w:val="left"/>
      <w:lvlText w:val="(%1)"/>
      <w:numFmt w:val="lowerLetter"/>
      <w:start w:val="1"/>
    </w:lvl>
  </w:abstractNum>
  <w:abstractNum w:abstractNumId="60">
    <w:nsid w:val="43F18422"/>
    <w:multiLevelType w:val="hybridMultilevel"/>
    <w:lvl w:ilvl="0">
      <w:lvlJc w:val="left"/>
      <w:lvlText w:val="(%1)"/>
      <w:numFmt w:val="lowerLetter"/>
      <w:start w:val="6"/>
    </w:lvl>
  </w:abstractNum>
  <w:abstractNum w:abstractNumId="61">
    <w:nsid w:val="60EF0119"/>
    <w:multiLevelType w:val="hybridMultilevel"/>
    <w:lvl w:ilvl="0">
      <w:lvlJc w:val="left"/>
      <w:lvlText w:val="(%1)"/>
      <w:numFmt w:val="lowerLetter"/>
      <w:start w:val="2"/>
    </w:lvl>
    <w:lvl w:ilvl="1">
      <w:lvlJc w:val="left"/>
      <w:lvlText w:val="(%2)"/>
      <w:numFmt w:val="lowerRoman"/>
      <w:start w:val="1"/>
    </w:lvl>
  </w:abstractNum>
  <w:abstractNum w:abstractNumId="62">
    <w:nsid w:val="26F324BA"/>
    <w:multiLevelType w:val="hybridMultilevel"/>
    <w:lvl w:ilvl="0">
      <w:lvlJc w:val="left"/>
      <w:lvlText w:val="(%1)"/>
      <w:numFmt w:val="lowerRoman"/>
      <w:start w:val="2"/>
    </w:lvl>
  </w:abstractNum>
  <w:abstractNum w:abstractNumId="63">
    <w:nsid w:val="7F01579B"/>
    <w:multiLevelType w:val="hybridMultilevel"/>
    <w:lvl w:ilvl="0">
      <w:lvlJc w:val="left"/>
      <w:lvlText w:val="(%1)"/>
      <w:numFmt w:val="lowerLetter"/>
      <w:start w:val="3"/>
    </w:lvl>
  </w:abstractNum>
  <w:abstractNum w:abstractNumId="64">
    <w:nsid w:val="49DA307D"/>
    <w:multiLevelType w:val="hybridMultilevel"/>
    <w:lvl w:ilvl="0">
      <w:lvlJc w:val="left"/>
      <w:lvlText w:val="(%1)"/>
      <w:numFmt w:val="lowerLetter"/>
      <w:start w:val="1"/>
    </w:lvl>
  </w:abstractNum>
  <w:abstractNum w:abstractNumId="65">
    <w:nsid w:val="7055A5F5"/>
    <w:multiLevelType w:val="hybridMultilevel"/>
    <w:lvl w:ilvl="0">
      <w:lvlJc w:val="left"/>
      <w:lvlText w:val="(%1)"/>
      <w:numFmt w:val="lowerLetter"/>
      <w:start w:val="8"/>
    </w:lvl>
  </w:abstractNum>
  <w:abstractNum w:abstractNumId="66">
    <w:nsid w:val="5FB8370B"/>
    <w:multiLevelType w:val="hybridMultilevel"/>
    <w:lvl w:ilvl="0">
      <w:lvlJc w:val="left"/>
      <w:lvlText w:val="(%1)"/>
      <w:numFmt w:val="lowerRoman"/>
      <w:start w:val="1"/>
    </w:lvl>
    <w:lvl w:ilvl="1">
      <w:lvlJc w:val="left"/>
      <w:lvlText w:val="(%2)"/>
      <w:numFmt w:val="upperLetter"/>
      <w:start w:val="1"/>
    </w:lvl>
  </w:abstractNum>
  <w:abstractNum w:abstractNumId="67">
    <w:nsid w:val="50801EE1"/>
    <w:multiLevelType w:val="hybridMultilevel"/>
    <w:lvl w:ilvl="0">
      <w:lvlJc w:val="left"/>
      <w:lvlText w:val="(%1)"/>
      <w:numFmt w:val="upperLetter"/>
      <w:start w:val="2"/>
    </w:lvl>
  </w:abstractNum>
  <w:abstractNum w:abstractNumId="68">
    <w:nsid w:val="488AC1A"/>
    <w:multiLevelType w:val="hybridMultilevel"/>
    <w:lvl w:ilvl="0">
      <w:lvlJc w:val="left"/>
      <w:lvlText w:val="(%1)"/>
      <w:numFmt w:val="lowerLetter"/>
      <w:start w:val="2"/>
    </w:lvl>
  </w:abstractNum>
  <w:abstractNum w:abstractNumId="69">
    <w:nsid w:val="5FB8011C"/>
    <w:multiLevelType w:val="hybridMultilevel"/>
    <w:lvl w:ilvl="0">
      <w:lvlJc w:val="left"/>
      <w:lvlText w:val="(%1)"/>
      <w:numFmt w:val="lowerLetter"/>
      <w:start w:val="4"/>
    </w:lvl>
    <w:lvl w:ilvl="1">
      <w:lvlJc w:val="left"/>
      <w:lvlText w:val="(%2)"/>
      <w:numFmt w:val="lowerRoman"/>
      <w:start w:val="1"/>
    </w:lvl>
  </w:abstractNum>
  <w:abstractNum w:abstractNumId="70">
    <w:nsid w:val="6AA78F7F"/>
    <w:multiLevelType w:val="hybridMultilevel"/>
    <w:lvl w:ilvl="0">
      <w:lvlJc w:val="left"/>
      <w:lvlText w:val="(%1)"/>
      <w:numFmt w:val="lowerRoman"/>
      <w:start w:val="2"/>
    </w:lvl>
  </w:abstractNum>
  <w:abstractNum w:abstractNumId="71">
    <w:nsid w:val="7672BD23"/>
    <w:multiLevelType w:val="hybridMultilevel"/>
    <w:lvl w:ilvl="0">
      <w:lvlJc w:val="left"/>
      <w:lvlText w:val="1"/>
      <w:numFmt w:val="bullet"/>
      <w:start w:val="1"/>
    </w:lvl>
  </w:abstractNum>
  <w:abstractNum w:abstractNumId="72">
    <w:nsid w:val="6FC75AF8"/>
    <w:multiLevelType w:val="hybridMultilevel"/>
    <w:lvl w:ilvl="0">
      <w:lvlJc w:val="left"/>
      <w:lvlText w:val="(%1)"/>
      <w:numFmt w:val="lowerLetter"/>
      <w:start w:val="1"/>
    </w:lvl>
  </w:abstractNum>
  <w:abstractNum w:abstractNumId="73">
    <w:nsid w:val="6A5F7029"/>
    <w:multiLevelType w:val="hybridMultilevel"/>
    <w:lvl w:ilvl="0">
      <w:lvlJc w:val="left"/>
      <w:lvlText w:val="(%1)"/>
      <w:numFmt w:val="lowerLetter"/>
      <w:start w:val="3"/>
    </w:lvl>
  </w:abstractNum>
  <w:abstractNum w:abstractNumId="74">
    <w:nsid w:val="7D5E18F8"/>
    <w:multiLevelType w:val="hybridMultilevel"/>
    <w:lvl w:ilvl="0">
      <w:lvlJc w:val="left"/>
      <w:lvlText w:val="(%1)"/>
      <w:numFmt w:val="lowerLetter"/>
      <w:start w:val="1"/>
    </w:lvl>
  </w:abstractNum>
  <w:abstractNum w:abstractNumId="75">
    <w:nsid w:val="5F3534A4"/>
    <w:multiLevelType w:val="hybridMultilevel"/>
    <w:lvl w:ilvl="0">
      <w:lvlJc w:val="left"/>
      <w:lvlText w:val="(%1)"/>
      <w:numFmt w:val="lowerLetter"/>
      <w:start w:val="1"/>
    </w:lvl>
  </w:abstractNum>
  <w:abstractNum w:abstractNumId="76">
    <w:nsid w:val="73A1821B"/>
    <w:multiLevelType w:val="hybridMultilevel"/>
    <w:lvl w:ilvl="0">
      <w:lvlJc w:val="left"/>
      <w:lvlText w:val="(%1)"/>
      <w:numFmt w:val="lowerLetter"/>
      <w:start w:val="7"/>
    </w:lvl>
  </w:abstractNum>
  <w:abstractNum w:abstractNumId="77">
    <w:nsid w:val="7DE67713"/>
    <w:multiLevelType w:val="hybridMultilevel"/>
    <w:lvl w:ilvl="0">
      <w:lvlJc w:val="left"/>
      <w:lvlText w:val="(%1)"/>
      <w:numFmt w:val="lowerLetter"/>
      <w:start w:val="17"/>
    </w:lvl>
  </w:abstractNum>
  <w:abstractNum w:abstractNumId="78">
    <w:nsid w:val="555C55B5"/>
    <w:multiLevelType w:val="hybridMultilevel"/>
    <w:lvl w:ilvl="0">
      <w:lvlJc w:val="left"/>
      <w:lvlText w:val="(%1)"/>
      <w:numFmt w:val="lowerLetter"/>
      <w:start w:val="1"/>
    </w:lvl>
  </w:abstractNum>
  <w:abstractNum w:abstractNumId="79">
    <w:nsid w:val="3FA62ACA"/>
    <w:multiLevelType w:val="hybridMultilevel"/>
    <w:lvl w:ilvl="0">
      <w:lvlJc w:val="left"/>
      <w:lvlText w:val="(%1)"/>
      <w:numFmt w:val="lowerLetter"/>
      <w:start w:val="4"/>
    </w:lvl>
    <w:lvl w:ilvl="1">
      <w:lvlJc w:val="left"/>
      <w:lvlText w:val="(%2)"/>
      <w:numFmt w:val="lowerRoman"/>
      <w:start w:val="1"/>
    </w:lvl>
  </w:abstractNum>
  <w:abstractNum w:abstractNumId="80">
    <w:nsid w:val="14FCE74E"/>
    <w:multiLevelType w:val="hybridMultilevel"/>
    <w:lvl w:ilvl="0">
      <w:lvlJc w:val="left"/>
      <w:lvlText w:val="(%1)"/>
      <w:numFmt w:val="lowerRoman"/>
      <w:start w:val="1"/>
    </w:lvl>
  </w:abstractNum>
  <w:abstractNum w:abstractNumId="81">
    <w:nsid w:val="6A3DD3E8"/>
    <w:multiLevelType w:val="hybridMultilevel"/>
    <w:lvl w:ilvl="0">
      <w:lvlJc w:val="left"/>
      <w:lvlText w:val="(%1)"/>
      <w:numFmt w:val="lowerLetter"/>
      <w:start w:val="1"/>
    </w:lvl>
  </w:abstractNum>
  <w:abstractNum w:abstractNumId="82">
    <w:nsid w:val="71C91298"/>
    <w:multiLevelType w:val="hybridMultilevel"/>
    <w:lvl w:ilvl="0">
      <w:lvlJc w:val="left"/>
      <w:lvlText w:val="(%1)"/>
      <w:numFmt w:val="lowerLetter"/>
      <w:start w:val="1"/>
    </w:lvl>
  </w:abstractNum>
  <w:abstractNum w:abstractNumId="83">
    <w:nsid w:val="9DAF632"/>
    <w:multiLevelType w:val="hybridMultilevel"/>
    <w:lvl w:ilvl="0">
      <w:lvlJc w:val="left"/>
      <w:lvlText w:val="(%1)"/>
      <w:numFmt w:val="lowerLetter"/>
      <w:start w:val="2"/>
    </w:lvl>
  </w:abstractNum>
  <w:abstractNum w:abstractNumId="84">
    <w:nsid w:val="53299938"/>
    <w:multiLevelType w:val="hybridMultilevel"/>
    <w:lvl w:ilvl="0">
      <w:lvlJc w:val="left"/>
      <w:lvlText w:val="(%1)"/>
      <w:numFmt w:val="lowerLetter"/>
      <w:start w:val="1"/>
    </w:lvl>
  </w:abstractNum>
  <w:abstractNum w:abstractNumId="85">
    <w:nsid w:val="1FBFE8E0"/>
    <w:multiLevelType w:val="hybridMultilevel"/>
    <w:lvl w:ilvl="0">
      <w:lvlJc w:val="left"/>
      <w:lvlText w:val="(%1)"/>
      <w:numFmt w:val="lowerRoman"/>
      <w:start w:val="1"/>
    </w:lvl>
  </w:abstractNum>
  <w:abstractNum w:abstractNumId="86">
    <w:nsid w:val="5092CA79"/>
    <w:multiLevelType w:val="hybridMultilevel"/>
    <w:lvl w:ilvl="0">
      <w:lvlJc w:val="left"/>
      <w:lvlText w:val="(%1)"/>
      <w:numFmt w:val="lowerRoman"/>
      <w:start w:val="2"/>
    </w:lvl>
  </w:abstractNum>
  <w:abstractNum w:abstractNumId="87">
    <w:nsid w:val="1D545C4D"/>
    <w:multiLevelType w:val="hybridMultilevel"/>
    <w:lvl w:ilvl="0">
      <w:lvlJc w:val="left"/>
      <w:lvlText w:val="(%1)"/>
      <w:numFmt w:val="lowerLetter"/>
      <w:start w:val="1"/>
    </w:lvl>
  </w:abstractNum>
  <w:abstractNum w:abstractNumId="88">
    <w:nsid w:val="59ADEA3D"/>
    <w:multiLevelType w:val="hybridMultilevel"/>
    <w:lvl w:ilvl="0">
      <w:lvlJc w:val="left"/>
      <w:lvlText w:val="(%1)"/>
      <w:numFmt w:val="lowerLetter"/>
      <w:start w:val="8"/>
    </w:lvl>
  </w:abstractNum>
  <w:abstractNum w:abstractNumId="89">
    <w:nsid w:val="288F1A34"/>
    <w:multiLevelType w:val="hybridMultilevel"/>
    <w:lvl w:ilvl="0">
      <w:lvlJc w:val="left"/>
      <w:lvlText w:val="(%1)"/>
      <w:numFmt w:val="lowerLetter"/>
      <w:start w:val="2"/>
    </w:lvl>
    <w:lvl w:ilvl="1">
      <w:lvlJc w:val="left"/>
      <w:lvlText w:val="(%2)"/>
      <w:numFmt w:val="lowerRoman"/>
      <w:start w:val="1"/>
    </w:lvl>
  </w:abstractNum>
  <w:abstractNum w:abstractNumId="90">
    <w:nsid w:val="2A155DBC"/>
    <w:multiLevelType w:val="hybridMultilevel"/>
    <w:lvl w:ilvl="0">
      <w:lvlJc w:val="left"/>
      <w:lvlText w:val="(%1)"/>
      <w:numFmt w:val="lowerLetter"/>
      <w:start w:val="3"/>
    </w:lvl>
  </w:abstractNum>
  <w:abstractNum w:abstractNumId="91">
    <w:nsid w:val="1D9F6E5F"/>
    <w:multiLevelType w:val="hybridMultilevel"/>
    <w:lvl w:ilvl="0">
      <w:lvlJc w:val="left"/>
      <w:lvlText w:val="(%1)"/>
      <w:numFmt w:val="lowerLetter"/>
      <w:start w:val="1"/>
    </w:lvl>
  </w:abstractNum>
  <w:abstractNum w:abstractNumId="92">
    <w:nsid w:val="97E1B4E"/>
    <w:multiLevelType w:val="hybridMultilevel"/>
    <w:lvl w:ilvl="0">
      <w:lvlJc w:val="left"/>
      <w:lvlText w:val="(%1)"/>
      <w:numFmt w:val="lowerLetter"/>
      <w:start w:val="5"/>
    </w:lvl>
  </w:abstractNum>
  <w:abstractNum w:abstractNumId="93">
    <w:nsid w:val="51088277"/>
    <w:multiLevelType w:val="hybridMultilevel"/>
    <w:lvl w:ilvl="0">
      <w:lvlJc w:val="left"/>
      <w:lvlText w:val="(%1)"/>
      <w:numFmt w:val="lowerRoman"/>
      <w:start w:val="1"/>
    </w:lvl>
  </w:abstractNum>
  <w:abstractNum w:abstractNumId="94">
    <w:nsid w:val="1CA0C5FA"/>
    <w:multiLevelType w:val="hybridMultilevel"/>
    <w:lvl w:ilvl="0">
      <w:lvlJc w:val="left"/>
      <w:lvlText w:val="(%1)"/>
      <w:numFmt w:val="lowerRoman"/>
      <w:start w:val="3"/>
    </w:lvl>
    <w:lvl w:ilvl="1">
      <w:lvlJc w:val="left"/>
      <w:lvlText w:val="(%2)"/>
      <w:numFmt w:val="upperLetter"/>
      <w:start w:val="1"/>
    </w:lvl>
  </w:abstractNum>
  <w:abstractNum w:abstractNumId="95">
    <w:nsid w:val="53584BCB"/>
    <w:multiLevelType w:val="hybridMultilevel"/>
    <w:lvl w:ilvl="0">
      <w:lvlJc w:val="left"/>
      <w:lvlText w:val="(%1)"/>
      <w:numFmt w:val="lowerLetter"/>
      <w:start w:val="2"/>
    </w:lvl>
  </w:abstractNum>
  <w:abstractNum w:abstractNumId="96">
    <w:nsid w:val="415E286C"/>
    <w:multiLevelType w:val="hybridMultilevel"/>
    <w:lvl w:ilvl="0">
      <w:lvlJc w:val="left"/>
      <w:lvlText w:val="(%1)"/>
      <w:numFmt w:val="lowerLetter"/>
      <w:start w:val="4"/>
    </w:lvl>
    <w:lvl w:ilvl="1">
      <w:lvlJc w:val="left"/>
      <w:lvlText w:val="(%2)"/>
      <w:numFmt w:val="lowerRoman"/>
      <w:start w:val="1"/>
    </w:lvl>
  </w:abstractNum>
  <w:abstractNum w:abstractNumId="97">
    <w:nsid w:val="7C58FD05"/>
    <w:multiLevelType w:val="hybridMultilevel"/>
    <w:lvl w:ilvl="0">
      <w:lvlJc w:val="left"/>
      <w:lvlText w:val="(%1)"/>
      <w:numFmt w:val="lowerRoman"/>
      <w:start w:val="5"/>
    </w:lvl>
  </w:abstractNum>
  <w:abstractNum w:abstractNumId="98">
    <w:nsid w:val="23D86AAC"/>
    <w:multiLevelType w:val="hybridMultilevel"/>
    <w:lvl w:ilvl="0">
      <w:lvlJc w:val="left"/>
      <w:lvlText w:val="%1."/>
      <w:numFmt w:val="decimal"/>
      <w:start w:val="1"/>
    </w:lvl>
  </w:abstractNum>
  <w:abstractNum w:abstractNumId="99">
    <w:nsid w:val="45E6D486"/>
    <w:multiLevelType w:val="hybridMultilevel"/>
    <w:lvl w:ilvl="0">
      <w:lvlJc w:val="left"/>
      <w:lvlText w:val="%1."/>
      <w:numFmt w:val="decimal"/>
      <w:start w:val="2"/>
    </w:lvl>
  </w:abstractNum>
  <w:abstractNum w:abstractNumId="100">
    <w:nsid w:val="5C10FE21"/>
    <w:multiLevelType w:val="hybridMultilevel"/>
    <w:lvl w:ilvl="0">
      <w:lvlJc w:val="left"/>
      <w:lvlText w:val="%1."/>
      <w:numFmt w:val="decimal"/>
      <w:start w:val="3"/>
    </w:lvl>
  </w:abstractNum>
  <w:abstractNum w:abstractNumId="101">
    <w:nsid w:val="E7FFA2B"/>
    <w:multiLevelType w:val="hybridMultilevel"/>
    <w:lvl w:ilvl="0">
      <w:lvlJc w:val="left"/>
      <w:lvlText w:val="%1."/>
      <w:numFmt w:val="decimal"/>
      <w:start w:val="4"/>
    </w:lvl>
  </w:abstractNum>
  <w:abstractNum w:abstractNumId="102">
    <w:nsid w:val="3C5991AA"/>
    <w:multiLevelType w:val="hybridMultilevel"/>
    <w:lvl w:ilvl="0">
      <w:lvlJc w:val="left"/>
      <w:lvlText w:val="%1."/>
      <w:numFmt w:val="decimal"/>
      <w:start w:val="5"/>
    </w:lvl>
  </w:abstractNum>
  <w:abstractNum w:abstractNumId="103">
    <w:nsid w:val="4BD8591A"/>
    <w:multiLevelType w:val="hybridMultilevel"/>
    <w:lvl w:ilvl="0">
      <w:lvlJc w:val="left"/>
      <w:lvlText w:val="%1."/>
      <w:numFmt w:val="decimal"/>
      <w:start w:val="6"/>
    </w:lvl>
  </w:abstractNum>
  <w:abstractNum w:abstractNumId="104">
    <w:nsid w:val="78DF6A55"/>
    <w:multiLevelType w:val="hybridMultilevel"/>
    <w:lvl w:ilvl="0">
      <w:lvlJc w:val="left"/>
      <w:lvlText w:val="%1."/>
      <w:numFmt w:val="decimal"/>
      <w:start w:val="8"/>
    </w:lvl>
  </w:abstractNum>
  <w:abstractNum w:abstractNumId="105">
    <w:nsid w:val="39B7AAA2"/>
    <w:multiLevelType w:val="hybridMultilevel"/>
    <w:lvl w:ilvl="0">
      <w:lvlJc w:val="left"/>
      <w:lvlText w:val="%1."/>
      <w:numFmt w:val="decimal"/>
      <w:start w:val="9"/>
    </w:lvl>
  </w:abstractNum>
  <w:abstractNum w:abstractNumId="106">
    <w:nsid w:val="2B0D8DBE"/>
    <w:multiLevelType w:val="hybridMultilevel"/>
    <w:lvl w:ilvl="0">
      <w:lvlJc w:val="left"/>
      <w:lvlText w:val="%1."/>
      <w:numFmt w:val="decimal"/>
      <w:start w:val="10"/>
    </w:lvl>
  </w:abstractNum>
  <w:abstractNum w:abstractNumId="107">
    <w:nsid w:val="6C80EC70"/>
    <w:multiLevelType w:val="hybridMultilevel"/>
    <w:lvl w:ilvl="0">
      <w:lvlJc w:val="left"/>
      <w:lvlText w:val="%1."/>
      <w:numFmt w:val="decimal"/>
      <w:start w:val="11"/>
    </w:lvl>
  </w:abstractNum>
  <w:abstractNum w:abstractNumId="108">
    <w:nsid w:val="379E21B5"/>
    <w:multiLevelType w:val="hybridMultilevel"/>
    <w:lvl w:ilvl="0">
      <w:lvlJc w:val="left"/>
      <w:lvlText w:val="%1."/>
      <w:numFmt w:val="decimal"/>
      <w:start w:val="12"/>
    </w:lvl>
  </w:abstractNum>
  <w:abstractNum w:abstractNumId="109">
    <w:nsid w:val="69E373"/>
    <w:multiLevelType w:val="hybridMultilevel"/>
    <w:lvl w:ilvl="0">
      <w:lvlJc w:val="left"/>
      <w:lvlText w:val="%1."/>
      <w:numFmt w:val="decimal"/>
      <w:start w:val="13"/>
    </w:lvl>
  </w:abstractNum>
  <w:abstractNum w:abstractNumId="110">
    <w:nsid w:val="2C27173B"/>
    <w:multiLevelType w:val="hybridMultilevel"/>
    <w:lvl w:ilvl="0">
      <w:lvlJc w:val="left"/>
      <w:lvlText w:val="%1."/>
      <w:numFmt w:val="decimal"/>
      <w:start w:val="14"/>
    </w:lvl>
  </w:abstractNum>
  <w:abstractNum w:abstractNumId="111">
    <w:nsid w:val="4C9B0904"/>
    <w:multiLevelType w:val="hybridMultilevel"/>
    <w:lvl w:ilvl="0">
      <w:lvlJc w:val="left"/>
      <w:lvlText w:val="%1."/>
      <w:numFmt w:val="decimal"/>
      <w:start w:val="15"/>
    </w:lvl>
  </w:abstractNum>
  <w:abstractNum w:abstractNumId="112">
    <w:nsid w:val="6AA7B75C"/>
    <w:multiLevelType w:val="hybridMultilevel"/>
    <w:lvl w:ilvl="0">
      <w:lvlJc w:val="left"/>
      <w:lvlText w:val="%1."/>
      <w:numFmt w:val="decimal"/>
      <w:start w:val="16"/>
    </w:lvl>
  </w:abstractNum>
  <w:abstractNum w:abstractNumId="113">
    <w:nsid w:val="1DF029D3"/>
    <w:multiLevelType w:val="hybridMultilevel"/>
    <w:lvl w:ilvl="0">
      <w:lvlJc w:val="left"/>
      <w:lvlText w:val="%1."/>
      <w:numFmt w:val="decimal"/>
      <w:start w:val="1"/>
    </w:lvl>
  </w:abstractNum>
  <w:abstractNum w:abstractNumId="114">
    <w:nsid w:val="5675FF36"/>
    <w:multiLevelType w:val="hybridMultilevel"/>
    <w:lvl w:ilvl="0">
      <w:lvlJc w:val="left"/>
      <w:lvlText w:val="%1."/>
      <w:numFmt w:val="decimal"/>
      <w:start w:val="2"/>
    </w:lvl>
  </w:abstractNum>
  <w:abstractNum w:abstractNumId="115">
    <w:nsid w:val="3DD15094"/>
    <w:multiLevelType w:val="hybridMultilevel"/>
    <w:lvl w:ilvl="0">
      <w:lvlJc w:val="left"/>
      <w:lvlText w:val="%1."/>
      <w:numFmt w:val="decimal"/>
      <w:start w:val="3"/>
    </w:lvl>
  </w:abstractNum>
  <w:abstractNum w:abstractNumId="116">
    <w:nsid w:val="3DB012B3"/>
    <w:multiLevelType w:val="hybridMultilevel"/>
    <w:lvl w:ilvl="0">
      <w:lvlJc w:val="left"/>
      <w:lvlText w:val="%1."/>
      <w:numFmt w:val="decimal"/>
      <w:start w:val="4"/>
    </w:lvl>
  </w:abstractNum>
  <w:abstractNum w:abstractNumId="117">
    <w:nsid w:val="2708C9AF"/>
    <w:multiLevelType w:val="hybridMultilevel"/>
    <w:lvl w:ilvl="0">
      <w:lvlJc w:val="left"/>
      <w:lvlText w:val="%1."/>
      <w:numFmt w:val="decimal"/>
      <w:start w:val="5"/>
    </w:lvl>
  </w:abstractNum>
  <w:abstractNum w:abstractNumId="118">
    <w:nsid w:val="5B25ACE2"/>
    <w:multiLevelType w:val="hybridMultilevel"/>
    <w:lvl w:ilvl="0">
      <w:lvlJc w:val="left"/>
      <w:lvlText w:val="%1."/>
      <w:numFmt w:val="decimal"/>
      <w:start w:val="6"/>
    </w:lvl>
  </w:abstractNum>
  <w:abstractNum w:abstractNumId="119">
    <w:nsid w:val="175DFCF0"/>
    <w:multiLevelType w:val="hybridMultilevel"/>
    <w:lvl w:ilvl="0">
      <w:lvlJc w:val="left"/>
      <w:lvlText w:val="%1."/>
      <w:numFmt w:val="decimal"/>
      <w:start w:val="7"/>
    </w:lvl>
  </w:abstractNum>
  <w:abstractNum w:abstractNumId="120">
    <w:nsid w:val="4F97E3E4"/>
    <w:multiLevelType w:val="hybridMultilevel"/>
    <w:lvl w:ilvl="0">
      <w:lvlJc w:val="left"/>
      <w:lvlText w:val="%1."/>
      <w:numFmt w:val="decimal"/>
      <w:start w:val="8"/>
    </w:lvl>
  </w:abstractNum>
  <w:abstractNum w:abstractNumId="121">
    <w:nsid w:val="53B0A9E"/>
    <w:multiLevelType w:val="hybridMultilevel"/>
    <w:lvl w:ilvl="0">
      <w:lvlJc w:val="left"/>
      <w:lvlText w:val="%1."/>
      <w:numFmt w:val="decimal"/>
      <w:start w:val="9"/>
    </w:lvl>
  </w:abstractNum>
  <w:abstractNum w:abstractNumId="122">
    <w:nsid w:val="34FD6B4F"/>
    <w:multiLevelType w:val="hybridMultilevel"/>
    <w:lvl w:ilvl="0">
      <w:lvlJc w:val="left"/>
      <w:lvlText w:val="%1."/>
      <w:numFmt w:val="lowerRoman"/>
      <w:start w:val="1"/>
    </w:lvl>
  </w:abstractNum>
  <w:abstractNum w:abstractNumId="123">
    <w:nsid w:val="5915FF32"/>
    <w:multiLevelType w:val="hybridMultilevel"/>
    <w:lvl w:ilvl="0">
      <w:lvlJc w:val="left"/>
      <w:lvlText w:val="%1."/>
      <w:numFmt w:val="decimal"/>
      <w:start w:val="1"/>
    </w:lvl>
    <w:lvl w:ilvl="1">
      <w:lvlJc w:val="left"/>
      <w:lvlText w:val="-"/>
      <w:numFmt w:val="bullet"/>
      <w:start w:val="1"/>
    </w:lvl>
  </w:abstractNum>
  <w:abstractNum w:abstractNumId="124">
    <w:nsid w:val="56438D15"/>
    <w:multiLevelType w:val="hybridMultilevel"/>
    <w:lvl w:ilvl="0">
      <w:lvlJc w:val="left"/>
      <w:lvlText w:val="%1."/>
      <w:numFmt w:val="decimal"/>
      <w:start w:val="2"/>
    </w:lvl>
    <w:lvl w:ilvl="1">
      <w:lvlJc w:val="left"/>
      <w:lvlText w:val="-"/>
      <w:numFmt w:val="bullet"/>
      <w:start w:val="1"/>
    </w:lvl>
  </w:abstractNum>
  <w:abstractNum w:abstractNumId="125">
    <w:nsid w:val="519E3149"/>
    <w:multiLevelType w:val="hybridMultilevel"/>
    <w:lvl w:ilvl="0">
      <w:lvlJc w:val="left"/>
      <w:lvlText w:val="%1."/>
      <w:numFmt w:val="decimal"/>
      <w:start w:val="5"/>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34" Type="http://schemas.openxmlformats.org/officeDocument/2006/relationships/image" Target="media/image13.png"/><Relationship Id="rId35" Type="http://schemas.openxmlformats.org/officeDocument/2006/relationships/image" Target="media/image14.png"/><Relationship Id="rId36" Type="http://schemas.openxmlformats.org/officeDocument/2006/relationships/image" Target="media/image15.png"/><Relationship Id="rId37" Type="http://schemas.openxmlformats.org/officeDocument/2006/relationships/image" Target="media/image16.png"/><Relationship Id="rId38" Type="http://schemas.openxmlformats.org/officeDocument/2006/relationships/image" Target="media/image17.png"/><Relationship Id="rId39" Type="http://schemas.openxmlformats.org/officeDocument/2006/relationships/image" Target="media/image18.png"/><Relationship Id="rId40" Type="http://schemas.openxmlformats.org/officeDocument/2006/relationships/image" Target="media/image19.png"/><Relationship Id="rId41" Type="http://schemas.openxmlformats.org/officeDocument/2006/relationships/image" Target="media/image20.png"/><Relationship Id="rId42" Type="http://schemas.openxmlformats.org/officeDocument/2006/relationships/image" Target="media/image21.png"/><Relationship Id="rId43" Type="http://schemas.openxmlformats.org/officeDocument/2006/relationships/image" Target="media/image22.png"/><Relationship Id="rId44" Type="http://schemas.openxmlformats.org/officeDocument/2006/relationships/image" Target="media/image23.png"/><Relationship Id="rId45" Type="http://schemas.openxmlformats.org/officeDocument/2006/relationships/image" Target="media/image24.png"/><Relationship Id="rId46" Type="http://schemas.openxmlformats.org/officeDocument/2006/relationships/image" Target="media/image25.png"/><Relationship Id="rId47" Type="http://schemas.openxmlformats.org/officeDocument/2006/relationships/image" Target="media/image26.png"/><Relationship Id="rId48" Type="http://schemas.openxmlformats.org/officeDocument/2006/relationships/image" Target="media/image27.png"/><Relationship Id="rId49" Type="http://schemas.openxmlformats.org/officeDocument/2006/relationships/image" Target="media/image28.png"/><Relationship Id="rId50" Type="http://schemas.openxmlformats.org/officeDocument/2006/relationships/image" Target="media/image29.png"/><Relationship Id="rId51" Type="http://schemas.openxmlformats.org/officeDocument/2006/relationships/image" Target="media/image30.png"/><Relationship Id="rId52" Type="http://schemas.openxmlformats.org/officeDocument/2006/relationships/image" Target="media/image31.png"/><Relationship Id="rId53" Type="http://schemas.openxmlformats.org/officeDocument/2006/relationships/image" Target="media/image32.png"/><Relationship Id="rId54" Type="http://schemas.openxmlformats.org/officeDocument/2006/relationships/image" Target="media/image33.png"/><Relationship Id="rId55" Type="http://schemas.openxmlformats.org/officeDocument/2006/relationships/image" Target="media/image34.png"/><Relationship Id="rId56" Type="http://schemas.openxmlformats.org/officeDocument/2006/relationships/image" Target="media/image35.png"/><Relationship Id="rId57" Type="http://schemas.openxmlformats.org/officeDocument/2006/relationships/image" Target="media/image36.png"/><Relationship Id="rId58" Type="http://schemas.openxmlformats.org/officeDocument/2006/relationships/image" Target="media/image37.png"/><Relationship Id="rId59" Type="http://schemas.openxmlformats.org/officeDocument/2006/relationships/image" Target="media/image38.png"/><Relationship Id="rId60" Type="http://schemas.openxmlformats.org/officeDocument/2006/relationships/image" Target="media/image39.png"/><Relationship Id="rId61" Type="http://schemas.openxmlformats.org/officeDocument/2006/relationships/image" Target="media/image40.png"/><Relationship Id="rId62" Type="http://schemas.openxmlformats.org/officeDocument/2006/relationships/image" Target="media/image41.png"/><Relationship Id="rId63" Type="http://schemas.openxmlformats.org/officeDocument/2006/relationships/image" Target="media/image42.png"/><Relationship Id="rId64" Type="http://schemas.openxmlformats.org/officeDocument/2006/relationships/image" Target="media/image43.png"/><Relationship Id="rId65" Type="http://schemas.openxmlformats.org/officeDocument/2006/relationships/image" Target="media/image44.png"/><Relationship Id="rId66" Type="http://schemas.openxmlformats.org/officeDocument/2006/relationships/image" Target="media/image45.png"/><Relationship Id="rId67" Type="http://schemas.openxmlformats.org/officeDocument/2006/relationships/image" Target="media/image46.png"/><Relationship Id="rId68" Type="http://schemas.openxmlformats.org/officeDocument/2006/relationships/image" Target="media/image47.png"/><Relationship Id="rId69" Type="http://schemas.openxmlformats.org/officeDocument/2006/relationships/image" Target="media/image48.png"/><Relationship Id="rId70" Type="http://schemas.openxmlformats.org/officeDocument/2006/relationships/image" Target="media/image49.png"/><Relationship Id="rId71" Type="http://schemas.openxmlformats.org/officeDocument/2006/relationships/image" Target="media/image50.png"/><Relationship Id="rId72" Type="http://schemas.openxmlformats.org/officeDocument/2006/relationships/image" Target="media/image51.png"/><Relationship Id="rId73"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png"/><Relationship Id="rId76" Type="http://schemas.openxmlformats.org/officeDocument/2006/relationships/image" Target="media/image55.png"/><Relationship Id="rId77" Type="http://schemas.openxmlformats.org/officeDocument/2006/relationships/image" Target="media/image56.png"/><Relationship Id="rId80" Type="http://schemas.openxmlformats.org/officeDocument/2006/relationships/image" Target="media/image57.png"/><Relationship Id="rId81" Type="http://schemas.openxmlformats.org/officeDocument/2006/relationships/image" Target="media/image58.png"/><Relationship Id="rId82" Type="http://schemas.openxmlformats.org/officeDocument/2006/relationships/image" Target="media/image59.png"/><Relationship Id="rId83" Type="http://schemas.openxmlformats.org/officeDocument/2006/relationships/image" Target="media/image60.png"/><Relationship Id="rId84" Type="http://schemas.openxmlformats.org/officeDocument/2006/relationships/image" Target="media/image61.png"/><Relationship Id="rId85" Type="http://schemas.openxmlformats.org/officeDocument/2006/relationships/image" Target="media/image62.png"/><Relationship Id="rId86" Type="http://schemas.openxmlformats.org/officeDocument/2006/relationships/image" Target="media/image63.png"/><Relationship Id="rId87" Type="http://schemas.openxmlformats.org/officeDocument/2006/relationships/image" Target="media/image64.png"/><Relationship Id="rId88" Type="http://schemas.openxmlformats.org/officeDocument/2006/relationships/image" Target="media/image65.png"/><Relationship Id="rId89" Type="http://schemas.openxmlformats.org/officeDocument/2006/relationships/image" Target="media/image66.png"/><Relationship Id="rId90" Type="http://schemas.openxmlformats.org/officeDocument/2006/relationships/image" Target="media/image67.png"/><Relationship Id="rId91" Type="http://schemas.openxmlformats.org/officeDocument/2006/relationships/image" Target="media/image68.png"/><Relationship Id="rId92" Type="http://schemas.openxmlformats.org/officeDocument/2006/relationships/image" Target="media/image69.png"/><Relationship Id="rId93" Type="http://schemas.openxmlformats.org/officeDocument/2006/relationships/image" Target="media/image70.png"/><Relationship Id="rId94" Type="http://schemas.openxmlformats.org/officeDocument/2006/relationships/image" Target="media/image71.png"/><Relationship Id="rId95" Type="http://schemas.openxmlformats.org/officeDocument/2006/relationships/image" Target="media/image72.png"/><Relationship Id="rId96" Type="http://schemas.openxmlformats.org/officeDocument/2006/relationships/image" Target="media/image73.png"/><Relationship Id="rId97" Type="http://schemas.openxmlformats.org/officeDocument/2006/relationships/image" Target="media/image74.png"/><Relationship Id="rId98" Type="http://schemas.openxmlformats.org/officeDocument/2006/relationships/image" Target="media/image75.png"/><Relationship Id="rId99" Type="http://schemas.openxmlformats.org/officeDocument/2006/relationships/image" Target="media/image76.png"/><Relationship Id="rId100" Type="http://schemas.openxmlformats.org/officeDocument/2006/relationships/image" Target="media/image77.png"/><Relationship Id="rId101" Type="http://schemas.openxmlformats.org/officeDocument/2006/relationships/image" Target="media/image78.png"/><Relationship Id="rId102" Type="http://schemas.openxmlformats.org/officeDocument/2006/relationships/image" Target="media/image79.png"/><Relationship Id="rId103" Type="http://schemas.openxmlformats.org/officeDocument/2006/relationships/image" Target="media/image80.png"/><Relationship Id="rId104" Type="http://schemas.openxmlformats.org/officeDocument/2006/relationships/image" Target="media/image81.png"/><Relationship Id="rId105" Type="http://schemas.openxmlformats.org/officeDocument/2006/relationships/image" Target="media/image82.png"/><Relationship Id="rId106" Type="http://schemas.openxmlformats.org/officeDocument/2006/relationships/image" Target="media/image83.png"/><Relationship Id="rId107" Type="http://schemas.openxmlformats.org/officeDocument/2006/relationships/image" Target="media/image84.png"/><Relationship Id="rId108" Type="http://schemas.openxmlformats.org/officeDocument/2006/relationships/image" Target="media/image85.png"/><Relationship Id="rId109" Type="http://schemas.openxmlformats.org/officeDocument/2006/relationships/image" Target="media/image86.png"/><Relationship Id="rId110" Type="http://schemas.openxmlformats.org/officeDocument/2006/relationships/image" Target="media/image87.png"/><Relationship Id="rId111" Type="http://schemas.openxmlformats.org/officeDocument/2006/relationships/image" Target="media/image88.png"/><Relationship Id="rId112" Type="http://schemas.openxmlformats.org/officeDocument/2006/relationships/image" Target="media/image89.png"/><Relationship Id="rId113" Type="http://schemas.openxmlformats.org/officeDocument/2006/relationships/image" Target="media/image90.png"/><Relationship Id="rId114" Type="http://schemas.openxmlformats.org/officeDocument/2006/relationships/image" Target="media/image91.png"/><Relationship Id="rId115" Type="http://schemas.openxmlformats.org/officeDocument/2006/relationships/image" Target="media/image92.png"/><Relationship Id="rId116" Type="http://schemas.openxmlformats.org/officeDocument/2006/relationships/image" Target="media/image93.png"/><Relationship Id="rId117" Type="http://schemas.openxmlformats.org/officeDocument/2006/relationships/image" Target="media/image94.png"/><Relationship Id="rId118" Type="http://schemas.openxmlformats.org/officeDocument/2006/relationships/image" Target="media/image95.png"/><Relationship Id="rId119" Type="http://schemas.openxmlformats.org/officeDocument/2006/relationships/image" Target="media/image96.png"/><Relationship Id="rId120" Type="http://schemas.openxmlformats.org/officeDocument/2006/relationships/image" Target="media/image97.png"/><Relationship Id="rId121" Type="http://schemas.openxmlformats.org/officeDocument/2006/relationships/image" Target="media/image98.png"/><Relationship Id="rId122" Type="http://schemas.openxmlformats.org/officeDocument/2006/relationships/image" Target="media/image99.png"/><Relationship Id="rId123" Type="http://schemas.openxmlformats.org/officeDocument/2006/relationships/image" Target="media/image100.png"/><Relationship Id="rId124" Type="http://schemas.openxmlformats.org/officeDocument/2006/relationships/image" Target="media/image101.png"/><Relationship Id="rId125" Type="http://schemas.openxmlformats.org/officeDocument/2006/relationships/image" Target="media/image102.png"/><Relationship Id="rId126" Type="http://schemas.openxmlformats.org/officeDocument/2006/relationships/image" Target="media/image103.png"/><Relationship Id="rId127" Type="http://schemas.openxmlformats.org/officeDocument/2006/relationships/image" Target="media/image104.png"/><Relationship Id="rId128" Type="http://schemas.openxmlformats.org/officeDocument/2006/relationships/image" Target="media/image105.png"/><Relationship Id="rId129" Type="http://schemas.openxmlformats.org/officeDocument/2006/relationships/image" Target="media/image106.png"/><Relationship Id="rId130" Type="http://schemas.openxmlformats.org/officeDocument/2006/relationships/image" Target="media/image107.png"/><Relationship Id="rId131" Type="http://schemas.openxmlformats.org/officeDocument/2006/relationships/image" Target="media/image108.png"/><Relationship Id="rId132" Type="http://schemas.openxmlformats.org/officeDocument/2006/relationships/image" Target="media/image109.png"/><Relationship Id="rId133" Type="http://schemas.openxmlformats.org/officeDocument/2006/relationships/image" Target="media/image110.png"/><Relationship Id="rId134" Type="http://schemas.openxmlformats.org/officeDocument/2006/relationships/image" Target="media/image111.png"/><Relationship Id="rId135" Type="http://schemas.openxmlformats.org/officeDocument/2006/relationships/image" Target="media/image112.png"/><Relationship Id="rId136" Type="http://schemas.openxmlformats.org/officeDocument/2006/relationships/image" Target="media/image113.png"/><Relationship Id="rId137" Type="http://schemas.openxmlformats.org/officeDocument/2006/relationships/image" Target="media/image114.png"/><Relationship Id="rId138" Type="http://schemas.openxmlformats.org/officeDocument/2006/relationships/image" Target="media/image115.png"/><Relationship Id="rId139" Type="http://schemas.openxmlformats.org/officeDocument/2006/relationships/image" Target="media/image116.png"/><Relationship Id="rId140" Type="http://schemas.openxmlformats.org/officeDocument/2006/relationships/image" Target="media/image117.png"/><Relationship Id="rId141" Type="http://schemas.openxmlformats.org/officeDocument/2006/relationships/image" Target="media/image118.png"/><Relationship Id="rId142" Type="http://schemas.openxmlformats.org/officeDocument/2006/relationships/image" Target="media/image119.png"/><Relationship Id="rId143" Type="http://schemas.openxmlformats.org/officeDocument/2006/relationships/image" Target="media/image120.png"/><Relationship Id="rId144" Type="http://schemas.openxmlformats.org/officeDocument/2006/relationships/image" Target="media/image121.png"/><Relationship Id="rId145" Type="http://schemas.openxmlformats.org/officeDocument/2006/relationships/image" Target="media/image122.png"/><Relationship Id="rId146" Type="http://schemas.openxmlformats.org/officeDocument/2006/relationships/image" Target="media/image123.png"/><Relationship Id="rId147" Type="http://schemas.openxmlformats.org/officeDocument/2006/relationships/image" Target="media/image124.png"/><Relationship Id="rId148" Type="http://schemas.openxmlformats.org/officeDocument/2006/relationships/image" Target="media/image125.png"/><Relationship Id="rId149" Type="http://schemas.openxmlformats.org/officeDocument/2006/relationships/image" Target="media/image126.png"/><Relationship Id="rId150" Type="http://schemas.openxmlformats.org/officeDocument/2006/relationships/image" Target="media/image127.png"/><Relationship Id="rId151" Type="http://schemas.openxmlformats.org/officeDocument/2006/relationships/image" Target="media/image128.png"/><Relationship Id="rId152" Type="http://schemas.openxmlformats.org/officeDocument/2006/relationships/image" Target="media/image129.png"/><Relationship Id="rId153" Type="http://schemas.openxmlformats.org/officeDocument/2006/relationships/image" Target="media/image130.png"/><Relationship Id="rId154" Type="http://schemas.openxmlformats.org/officeDocument/2006/relationships/image" Target="media/image131.png"/><Relationship Id="rId155" Type="http://schemas.openxmlformats.org/officeDocument/2006/relationships/image" Target="media/image132.png"/><Relationship Id="rId156" Type="http://schemas.openxmlformats.org/officeDocument/2006/relationships/image" Target="media/image133.png"/><Relationship Id="rId157" Type="http://schemas.openxmlformats.org/officeDocument/2006/relationships/image" Target="media/image134.png"/><Relationship Id="rId158" Type="http://schemas.openxmlformats.org/officeDocument/2006/relationships/image" Target="media/image135.png"/><Relationship Id="rId159" Type="http://schemas.openxmlformats.org/officeDocument/2006/relationships/image" Target="media/image136.png"/><Relationship Id="rId160" Type="http://schemas.openxmlformats.org/officeDocument/2006/relationships/image" Target="media/image137.png"/><Relationship Id="rId161" Type="http://schemas.openxmlformats.org/officeDocument/2006/relationships/image" Target="media/image138.png"/><Relationship Id="rId162" Type="http://schemas.openxmlformats.org/officeDocument/2006/relationships/image" Target="media/image139.png"/><Relationship Id="rId163" Type="http://schemas.openxmlformats.org/officeDocument/2006/relationships/image" Target="media/image140.png"/><Relationship Id="rId164" Type="http://schemas.openxmlformats.org/officeDocument/2006/relationships/image" Target="media/image141.png"/><Relationship Id="rId165" Type="http://schemas.openxmlformats.org/officeDocument/2006/relationships/image" Target="media/image142.png"/><Relationship Id="rId166" Type="http://schemas.openxmlformats.org/officeDocument/2006/relationships/image" Target="media/image143.png"/><Relationship Id="rId167" Type="http://schemas.openxmlformats.org/officeDocument/2006/relationships/image" Target="media/image144.png"/><Relationship Id="rId168" Type="http://schemas.openxmlformats.org/officeDocument/2006/relationships/image" Target="media/image145.png"/><Relationship Id="rId169" Type="http://schemas.openxmlformats.org/officeDocument/2006/relationships/image" Target="media/image146.png"/><Relationship Id="rId170" Type="http://schemas.openxmlformats.org/officeDocument/2006/relationships/image" Target="media/image147.png"/><Relationship Id="rId171" Type="http://schemas.openxmlformats.org/officeDocument/2006/relationships/image" Target="media/image148.png"/><Relationship Id="rId172" Type="http://schemas.openxmlformats.org/officeDocument/2006/relationships/image" Target="media/image149.png"/><Relationship Id="rId173" Type="http://schemas.openxmlformats.org/officeDocument/2006/relationships/image" Target="media/image150.png"/><Relationship Id="rId174" Type="http://schemas.openxmlformats.org/officeDocument/2006/relationships/image" Target="media/image151.png"/><Relationship Id="rId175" Type="http://schemas.openxmlformats.org/officeDocument/2006/relationships/image" Target="media/image152.png"/><Relationship Id="rId176" Type="http://schemas.openxmlformats.org/officeDocument/2006/relationships/image" Target="media/image153.png"/><Relationship Id="rId177" Type="http://schemas.openxmlformats.org/officeDocument/2006/relationships/image" Target="media/image154.png"/><Relationship Id="rId178" Type="http://schemas.openxmlformats.org/officeDocument/2006/relationships/image" Target="media/image155.png"/><Relationship Id="rId179" Type="http://schemas.openxmlformats.org/officeDocument/2006/relationships/image" Target="media/image156.png"/><Relationship Id="rId180" Type="http://schemas.openxmlformats.org/officeDocument/2006/relationships/image" Target="media/image157.png"/><Relationship Id="rId181" Type="http://schemas.openxmlformats.org/officeDocument/2006/relationships/image" Target="media/image158.png"/><Relationship Id="rId182" Type="http://schemas.openxmlformats.org/officeDocument/2006/relationships/image" Target="media/image159.png"/><Relationship Id="rId183" Type="http://schemas.openxmlformats.org/officeDocument/2006/relationships/image" Target="media/image160.png"/><Relationship Id="rId184" Type="http://schemas.openxmlformats.org/officeDocument/2006/relationships/image" Target="media/image161.png"/><Relationship Id="rId185" Type="http://schemas.openxmlformats.org/officeDocument/2006/relationships/image" Target="media/image162.png"/><Relationship Id="rId186" Type="http://schemas.openxmlformats.org/officeDocument/2006/relationships/image" Target="media/image163.png"/><Relationship Id="rId187" Type="http://schemas.openxmlformats.org/officeDocument/2006/relationships/image" Target="media/image164.png"/><Relationship Id="rId188" Type="http://schemas.openxmlformats.org/officeDocument/2006/relationships/image" Target="media/image165.png"/><Relationship Id="rId189" Type="http://schemas.openxmlformats.org/officeDocument/2006/relationships/image" Target="media/image166.png"/><Relationship Id="rId190" Type="http://schemas.openxmlformats.org/officeDocument/2006/relationships/image" Target="media/image167.png"/><Relationship Id="rId191" Type="http://schemas.openxmlformats.org/officeDocument/2006/relationships/image" Target="media/image168.png"/><Relationship Id="rId192" Type="http://schemas.openxmlformats.org/officeDocument/2006/relationships/image" Target="media/image169.png"/><Relationship Id="rId193" Type="http://schemas.openxmlformats.org/officeDocument/2006/relationships/image" Target="media/image170.png"/><Relationship Id="rId194" Type="http://schemas.openxmlformats.org/officeDocument/2006/relationships/image" Target="media/image171.png"/><Relationship Id="rId195" Type="http://schemas.openxmlformats.org/officeDocument/2006/relationships/image" Target="media/image172.png"/><Relationship Id="rId196" Type="http://schemas.openxmlformats.org/officeDocument/2006/relationships/image" Target="media/image173.png"/><Relationship Id="rId197" Type="http://schemas.openxmlformats.org/officeDocument/2006/relationships/image" Target="media/image174.png"/><Relationship Id="rId198" Type="http://schemas.openxmlformats.org/officeDocument/2006/relationships/image" Target="media/image175.png"/><Relationship Id="rId199" Type="http://schemas.openxmlformats.org/officeDocument/2006/relationships/image" Target="media/image176.png"/><Relationship Id="rId200" Type="http://schemas.openxmlformats.org/officeDocument/2006/relationships/image" Target="media/image177.png"/><Relationship Id="rId201" Type="http://schemas.openxmlformats.org/officeDocument/2006/relationships/image" Target="media/image178.png"/><Relationship Id="rId202" Type="http://schemas.openxmlformats.org/officeDocument/2006/relationships/image" Target="media/image179.png"/><Relationship Id="rId203" Type="http://schemas.openxmlformats.org/officeDocument/2006/relationships/image" Target="media/image180.png"/><Relationship Id="rId204" Type="http://schemas.openxmlformats.org/officeDocument/2006/relationships/image" Target="media/image181.png"/><Relationship Id="rId205" Type="http://schemas.openxmlformats.org/officeDocument/2006/relationships/image" Target="media/image182.png"/><Relationship Id="rId206" Type="http://schemas.openxmlformats.org/officeDocument/2006/relationships/image" Target="media/image183.png"/><Relationship Id="rId207" Type="http://schemas.openxmlformats.org/officeDocument/2006/relationships/image" Target="media/image184.png"/><Relationship Id="rId208" Type="http://schemas.openxmlformats.org/officeDocument/2006/relationships/image" Target="media/image185.png"/><Relationship Id="rId209" Type="http://schemas.openxmlformats.org/officeDocument/2006/relationships/image" Target="media/image186.png"/><Relationship Id="rId210" Type="http://schemas.openxmlformats.org/officeDocument/2006/relationships/image" Target="media/image187.png"/><Relationship Id="rId211" Type="http://schemas.openxmlformats.org/officeDocument/2006/relationships/image" Target="media/image188.png"/><Relationship Id="rId212" Type="http://schemas.openxmlformats.org/officeDocument/2006/relationships/image" Target="media/image189.png"/><Relationship Id="rId213" Type="http://schemas.openxmlformats.org/officeDocument/2006/relationships/image" Target="media/image190.png"/><Relationship Id="rId214" Type="http://schemas.openxmlformats.org/officeDocument/2006/relationships/image" Target="media/image191.png"/><Relationship Id="rId215" Type="http://schemas.openxmlformats.org/officeDocument/2006/relationships/image" Target="media/image192.png"/><Relationship Id="rId216" Type="http://schemas.openxmlformats.org/officeDocument/2006/relationships/image" Target="media/image193.png"/><Relationship Id="rId217" Type="http://schemas.openxmlformats.org/officeDocument/2006/relationships/image" Target="media/image194.png"/><Relationship Id="rId218" Type="http://schemas.openxmlformats.org/officeDocument/2006/relationships/image" Target="media/image195.png"/><Relationship Id="rId219" Type="http://schemas.openxmlformats.org/officeDocument/2006/relationships/image" Target="media/image196.png"/><Relationship Id="rId220" Type="http://schemas.openxmlformats.org/officeDocument/2006/relationships/image" Target="media/image197.png"/><Relationship Id="rId221" Type="http://schemas.openxmlformats.org/officeDocument/2006/relationships/image" Target="media/image198.png"/><Relationship Id="rId222" Type="http://schemas.openxmlformats.org/officeDocument/2006/relationships/image" Target="media/image199.png"/><Relationship Id="rId223" Type="http://schemas.openxmlformats.org/officeDocument/2006/relationships/image" Target="media/image200.png"/><Relationship Id="rId224" Type="http://schemas.openxmlformats.org/officeDocument/2006/relationships/image" Target="media/image201.png"/><Relationship Id="rId225" Type="http://schemas.openxmlformats.org/officeDocument/2006/relationships/image" Target="media/image202.png"/><Relationship Id="rId226" Type="http://schemas.openxmlformats.org/officeDocument/2006/relationships/image" Target="media/image203.png"/><Relationship Id="rId227" Type="http://schemas.openxmlformats.org/officeDocument/2006/relationships/image" Target="media/image204.png"/><Relationship Id="rId228" Type="http://schemas.openxmlformats.org/officeDocument/2006/relationships/image" Target="media/image205.png"/><Relationship Id="rId229" Type="http://schemas.openxmlformats.org/officeDocument/2006/relationships/image" Target="media/image206.png"/><Relationship Id="rId230" Type="http://schemas.openxmlformats.org/officeDocument/2006/relationships/image" Target="media/image207.png"/><Relationship Id="rId231" Type="http://schemas.openxmlformats.org/officeDocument/2006/relationships/image" Target="media/image208.png"/><Relationship Id="rId232" Type="http://schemas.openxmlformats.org/officeDocument/2006/relationships/image" Target="media/image209.png"/><Relationship Id="rId233" Type="http://schemas.openxmlformats.org/officeDocument/2006/relationships/image" Target="media/image210.png"/><Relationship Id="rId234" Type="http://schemas.openxmlformats.org/officeDocument/2006/relationships/image" Target="media/image211.png"/><Relationship Id="rId235" Type="http://schemas.openxmlformats.org/officeDocument/2006/relationships/image" Target="media/image212.png"/><Relationship Id="rId236" Type="http://schemas.openxmlformats.org/officeDocument/2006/relationships/image" Target="media/image213.png"/><Relationship Id="rId237" Type="http://schemas.openxmlformats.org/officeDocument/2006/relationships/image" Target="media/image214.png"/><Relationship Id="rId238" Type="http://schemas.openxmlformats.org/officeDocument/2006/relationships/image" Target="media/image215.png"/><Relationship Id="rId239" Type="http://schemas.openxmlformats.org/officeDocument/2006/relationships/image" Target="media/image216.png"/><Relationship Id="rId240" Type="http://schemas.openxmlformats.org/officeDocument/2006/relationships/image" Target="media/image217.png"/><Relationship Id="rId241" Type="http://schemas.openxmlformats.org/officeDocument/2006/relationships/image" Target="media/image218.png"/><Relationship Id="rId242" Type="http://schemas.openxmlformats.org/officeDocument/2006/relationships/image" Target="media/image219.png"/><Relationship Id="rId243" Type="http://schemas.openxmlformats.org/officeDocument/2006/relationships/image" Target="media/image220.png"/><Relationship Id="rId244" Type="http://schemas.openxmlformats.org/officeDocument/2006/relationships/image" Target="media/image221.png"/><Relationship Id="rId245" Type="http://schemas.openxmlformats.org/officeDocument/2006/relationships/image" Target="media/image222.png"/><Relationship Id="rId246" Type="http://schemas.openxmlformats.org/officeDocument/2006/relationships/image" Target="media/image223.png"/><Relationship Id="rId247" Type="http://schemas.openxmlformats.org/officeDocument/2006/relationships/image" Target="media/image224.png"/><Relationship Id="rId248" Type="http://schemas.openxmlformats.org/officeDocument/2006/relationships/image" Target="media/image225.png"/><Relationship Id="rId249" Type="http://schemas.openxmlformats.org/officeDocument/2006/relationships/image" Target="media/image226.png"/><Relationship Id="rId250" Type="http://schemas.openxmlformats.org/officeDocument/2006/relationships/image" Target="media/image227.png"/><Relationship Id="rId251" Type="http://schemas.openxmlformats.org/officeDocument/2006/relationships/image" Target="media/image228.png"/><Relationship Id="rId252" Type="http://schemas.openxmlformats.org/officeDocument/2006/relationships/image" Target="media/image229.png"/><Relationship Id="rId253" Type="http://schemas.openxmlformats.org/officeDocument/2006/relationships/image" Target="media/image230.png"/><Relationship Id="rId254" Type="http://schemas.openxmlformats.org/officeDocument/2006/relationships/image" Target="media/image231.png"/><Relationship Id="rId255" Type="http://schemas.openxmlformats.org/officeDocument/2006/relationships/image" Target="media/image232.png"/><Relationship Id="rId256" Type="http://schemas.openxmlformats.org/officeDocument/2006/relationships/image" Target="media/image233.jpeg"/><Relationship Id="rId257" Type="http://schemas.openxmlformats.org/officeDocument/2006/relationships/image" Target="media/image234.png"/><Relationship Id="rId258" Type="http://schemas.openxmlformats.org/officeDocument/2006/relationships/image" Target="media/image235.png"/><Relationship Id="rId259" Type="http://schemas.openxmlformats.org/officeDocument/2006/relationships/image" Target="media/image236.png"/><Relationship Id="rId260" Type="http://schemas.openxmlformats.org/officeDocument/2006/relationships/image" Target="media/image237.png"/><Relationship Id="rId261" Type="http://schemas.openxmlformats.org/officeDocument/2006/relationships/image" Target="media/image238.png"/><Relationship Id="rId262" Type="http://schemas.openxmlformats.org/officeDocument/2006/relationships/image" Target="media/image239.png"/><Relationship Id="rId263" Type="http://schemas.openxmlformats.org/officeDocument/2006/relationships/image" Target="media/image240.png"/><Relationship Id="rId264" Type="http://schemas.openxmlformats.org/officeDocument/2006/relationships/image" Target="media/image241.png"/><Relationship Id="rId20" Type="http://schemas.openxmlformats.org/officeDocument/2006/relationships/hyperlink" Target="http://www.sec.gov/ix?doc=/Archives/edgar/data/1410939/000141093921000007/opht-20201231.htm" TargetMode="External"/><Relationship Id="rId21" Type="http://schemas.openxmlformats.org/officeDocument/2006/relationships/hyperlink" Target="http://www.sec.gov/Archives/edgar/data/1410939/000141093921000011/proxystatementfor2021annua.htm" TargetMode="External"/><Relationship Id="rId22" Type="http://schemas.openxmlformats.org/officeDocument/2006/relationships/hyperlink" Target="http://www.sec.gov/ix?doc=/Archives/edgar/data/1410939/000141093921000018/opht-20210331.htm" TargetMode="External"/><Relationship Id="rId23" Type="http://schemas.openxmlformats.org/officeDocument/2006/relationships/hyperlink" Target="http://www.sec.gov/ix?doc=/Archives/edgar/data/1410939/000141093921000038/isee-20210630.htm" TargetMode="External"/><Relationship Id="rId24" Type="http://schemas.openxmlformats.org/officeDocument/2006/relationships/hyperlink" Target="http://www.sec.gov/ix?doc=/Archives/edgar/data/1410939/000141093921000002/isee-20210111.htm" TargetMode="External"/><Relationship Id="rId25" Type="http://schemas.openxmlformats.org/officeDocument/2006/relationships/hyperlink" Target="http://www.sec.gov/ix?doc=/Archives/edgar/data/1410939/000110465921046289/tm2112090d1_8k.htm" TargetMode="External"/><Relationship Id="rId26" Type="http://schemas.openxmlformats.org/officeDocument/2006/relationships/hyperlink" Target="http://www.sec.gov/ix?doc=/Archives/edgar/data/0001410939/000141093921000016/isee-20210501.htm" TargetMode="External"/><Relationship Id="rId27" Type="http://schemas.openxmlformats.org/officeDocument/2006/relationships/hyperlink" Target="http://www.sec.gov/ix?doc=/Archives/edgar/data/1410939/000141093921000021/isee-20210519.htm" TargetMode="External"/><Relationship Id="rId28" Type="http://schemas.openxmlformats.org/officeDocument/2006/relationships/hyperlink" Target="http://www.sec.gov/ix?doc=/Archives/edgar/data/1410939/000141093921000027/isee-20210618.htm" TargetMode="External"/><Relationship Id="rId29" Type="http://schemas.openxmlformats.org/officeDocument/2006/relationships/hyperlink" Target="http://www.sec.gov/ix?doc=/Archives/edgar/data/1410939/000141093921000029/isee-20210706.htm" TargetMode="External"/><Relationship Id="rId30" Type="http://schemas.openxmlformats.org/officeDocument/2006/relationships/hyperlink" Target="http://www.sec.gov/ix?doc=/Archives/edgar/data/1410939/000141093921000032/isee-20210712.htm" TargetMode="External"/><Relationship Id="rId31" Type="http://schemas.openxmlformats.org/officeDocument/2006/relationships/hyperlink" Target="http://www.sec.gov/ix?doc=/Archives/edgar/data/1410939/000110465921092154/tm2022716d6_8k.htm" TargetMode="External"/><Relationship Id="rId32" Type="http://schemas.openxmlformats.org/officeDocument/2006/relationships/hyperlink" Target="http://www.sec.gov/ix?doc=/Archives/edgar/data/1410939/000141093921000041/isee-20210927.htm" TargetMode="External"/><Relationship Id="rId33" Type="http://schemas.openxmlformats.org/officeDocument/2006/relationships/hyperlink" Target="http://www.sec.gov/Archives/edgar/data/1410939/000119312513373331/d599239d8a12b.htm" TargetMode="External"/><Relationship Id="rId78" Type="http://schemas.openxmlformats.org/officeDocument/2006/relationships/hyperlink" Target="http://www.sec.gov/Archives/edgar/data/1410939/000141093921000007/isee12312020exhibit31.htm" TargetMode="External"/><Relationship Id="rId79" Type="http://schemas.openxmlformats.org/officeDocument/2006/relationships/hyperlink" Target="http://www.sec.gov/Archives/edgar/data/1410939/000119312513360785/d560505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2021-10-21T15:04:48Z</dcterms:created>
  <dcterms:modified xsi:type="dcterms:W3CDTF">2021-10-21T15:04:48Z</dcterms:modified>
</cp:coreProperties>
</file>