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43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SBLENDORIO GLENN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IVERIC 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SYLVAN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IVERIC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ISEE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PARSIPPANY</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07054</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12/09/2022</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7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23,750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jc w:val="center"/>
              <w:ind w:right="201"/>
              <w:spacing w:after="0"/>
              <w:rPr>
                <w:sz w:val="20"/>
                <w:szCs w:val="20"/>
                <w:color w:val="auto"/>
              </w:rPr>
            </w:pPr>
            <w:r>
              <w:rPr>
                <w:rFonts w:ascii="Times New Roman" w:cs="Times New Roman" w:eastAsia="Times New Roman" w:hAnsi="Times New Roman"/>
                <w:sz w:val="17"/>
                <w:szCs w:val="17"/>
                <w:color w:val="0000FF"/>
              </w:rPr>
              <w:t>203,987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12/12/2022</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7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22,950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226,937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23,750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12/09/2022</w:t>
            </w:r>
          </w:p>
        </w:tc>
        <w:tc>
          <w:tcPr>
            <w:tcW w:w="114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23,750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23,750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22,950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12/12/2022</w:t>
            </w:r>
          </w:p>
        </w:tc>
        <w:tc>
          <w:tcPr>
            <w:tcW w:w="114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22,950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converted into common stock on a one-for-one basis upon vesting of the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total includes 548 shares acquired by the Reporting Person on September 15, 2022, under the Registrant's 2016 Employee Stock Purchase Plan that were not previously reported.</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9, 2019, the Reporting Person was granted an award of 95,000 restricted stock units, which vests with respect to 25% of the shares subject to the award on each of the first, second, third and fourth anniversaries of the grant date, subject to continuedemployment with the Registrant and the other terms and conditions under the Registrant's 2013 Stock Incentive Plan.</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12, 2018, the Reporting Person was granted 91,800 restricted stock units, which vests with respect to 25% of the shares subject to the award on each of the first, second, third and fourth anniversaries of the grant date, subject to continued employment withthe Registrant and the other terms and conditions of the Registrant's 2013 Stock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Todd D.C. Anderman,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Glenn P.</w:t>
      </w:r>
      <w:r>
        <w:rPr>
          <w:sz w:val="20"/>
          <w:szCs w:val="20"/>
          <w:color w:val="auto"/>
        </w:rPr>
        <w:tab/>
      </w:r>
      <w:r>
        <w:rPr>
          <w:rFonts w:ascii="Times New Roman" w:cs="Times New Roman" w:eastAsia="Times New Roman" w:hAnsi="Times New Roman"/>
          <w:sz w:val="16"/>
          <w:szCs w:val="16"/>
          <w:color w:val="0000FF"/>
        </w:rPr>
        <w:t>12/13/2022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Sblendorio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67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478" TargetMode="External"/><Relationship Id="rId13"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2022-12-13T20:06:50Z</dcterms:created>
  <dcterms:modified xsi:type="dcterms:W3CDTF">2022-12-13T20:06:50Z</dcterms:modified>
</cp:coreProperties>
</file>