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73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733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GUYER DAVID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500"/>
        <w:spacing w:after="0" w:line="358" w:lineRule="auto"/>
        <w:rPr>
          <w:sz w:val="20"/>
          <w:szCs w:val="20"/>
          <w:color w:val="auto"/>
        </w:rPr>
      </w:pPr>
      <w:r>
        <w:rPr>
          <w:rFonts w:ascii="Arial" w:cs="Arial" w:eastAsia="Arial" w:hAnsi="Arial"/>
          <w:sz w:val="16"/>
          <w:szCs w:val="16"/>
          <w:color w:val="0000FF"/>
        </w:rPr>
        <w:t>C/O OPHTHOTECH CORPORATION ONE PENN PLAZA, 35TH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Ophthotech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OPHT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12/12/2018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51"/>
        <w:spacing w:after="0"/>
        <w:rPr>
          <w:sz w:val="20"/>
          <w:szCs w:val="20"/>
          <w:color w:val="auto"/>
        </w:rPr>
      </w:pPr>
      <w:r>
        <w:rPr>
          <w:rFonts w:ascii="Arial" w:cs="Arial" w:eastAsia="Arial" w:hAnsi="Arial"/>
          <w:sz w:val="17"/>
          <w:szCs w:val="17"/>
          <w:color w:val="0000FF"/>
        </w:rPr>
        <w:t>Executive Chairman</w:t>
      </w:r>
    </w:p>
    <w:p>
      <w:pPr>
        <w:spacing w:after="0" w:line="420"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10119</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6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1.45</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12/12/2018</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jc w:val="right"/>
              <w:ind w:right="79"/>
              <w:spacing w:after="0"/>
              <w:rPr>
                <w:sz w:val="20"/>
                <w:szCs w:val="20"/>
                <w:color w:val="auto"/>
              </w:rPr>
            </w:pPr>
            <w:r>
              <w:rPr>
                <w:rFonts w:ascii="Arial" w:cs="Arial" w:eastAsia="Arial" w:hAnsi="Arial"/>
                <w:sz w:val="13"/>
                <w:szCs w:val="13"/>
                <w:color w:val="0000FF"/>
              </w:rPr>
              <w:t>137,500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12/11/2028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2"/>
              <w:spacing w:after="0"/>
              <w:rPr>
                <w:sz w:val="20"/>
                <w:szCs w:val="20"/>
                <w:color w:val="auto"/>
              </w:rPr>
            </w:pPr>
            <w:r>
              <w:rPr>
                <w:rFonts w:ascii="Arial" w:cs="Arial" w:eastAsia="Arial" w:hAnsi="Arial"/>
                <w:sz w:val="17"/>
                <w:szCs w:val="17"/>
                <w:color w:val="0000FF"/>
                <w:w w:val="87"/>
              </w:rPr>
              <w:t>137,500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jc w:val="right"/>
              <w:ind w:right="199"/>
              <w:spacing w:after="0"/>
              <w:rPr>
                <w:sz w:val="20"/>
                <w:szCs w:val="20"/>
                <w:color w:val="auto"/>
              </w:rPr>
            </w:pPr>
            <w:r>
              <w:rPr>
                <w:rFonts w:ascii="Arial" w:cs="Arial" w:eastAsia="Arial" w:hAnsi="Arial"/>
                <w:sz w:val="13"/>
                <w:szCs w:val="13"/>
                <w:color w:val="0000FF"/>
              </w:rPr>
              <w:t>137,500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2"/>
              <w:spacing w:after="0"/>
              <w:rPr>
                <w:sz w:val="20"/>
                <w:szCs w:val="20"/>
                <w:color w:val="auto"/>
              </w:rPr>
            </w:pPr>
            <w:r>
              <w:rPr>
                <w:rFonts w:ascii="Arial" w:cs="Arial" w:eastAsia="Arial" w:hAnsi="Arial"/>
                <w:sz w:val="17"/>
                <w:szCs w:val="17"/>
                <w:color w:val="0000FF"/>
                <w:w w:val="96"/>
              </w:rPr>
              <w:t>68,800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20" w:type="dxa"/>
            <w:vAlign w:val="bottom"/>
            <w:vMerge w:val="restart"/>
          </w:tcPr>
          <w:p>
            <w:pPr>
              <w:jc w:val="right"/>
              <w:ind w:right="198"/>
              <w:spacing w:after="0" w:line="146" w:lineRule="exact"/>
              <w:rPr>
                <w:sz w:val="20"/>
                <w:szCs w:val="20"/>
                <w:color w:val="auto"/>
              </w:rPr>
            </w:pPr>
            <w:r>
              <w:rPr>
                <w:rFonts w:ascii="Arial" w:cs="Arial" w:eastAsia="Arial" w:hAnsi="Arial"/>
                <w:sz w:val="13"/>
                <w:szCs w:val="13"/>
                <w:color w:val="0000FF"/>
              </w:rPr>
              <w:t>12/12/2018</w:t>
            </w:r>
          </w:p>
        </w:tc>
        <w:tc>
          <w:tcPr>
            <w:tcW w:w="1100" w:type="dxa"/>
            <w:vAlign w:val="bottom"/>
          </w:tcPr>
          <w:p>
            <w:pPr>
              <w:spacing w:after="0"/>
              <w:rPr>
                <w:sz w:val="5"/>
                <w:szCs w:val="5"/>
                <w:color w:val="auto"/>
              </w:rPr>
            </w:pPr>
          </w:p>
        </w:tc>
        <w:tc>
          <w:tcPr>
            <w:tcW w:w="82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jc w:val="right"/>
              <w:ind w:right="119"/>
              <w:spacing w:after="0" w:line="146" w:lineRule="exact"/>
              <w:rPr>
                <w:sz w:val="20"/>
                <w:szCs w:val="20"/>
                <w:color w:val="auto"/>
              </w:rPr>
            </w:pPr>
            <w:r>
              <w:rPr>
                <w:rFonts w:ascii="Arial" w:cs="Arial" w:eastAsia="Arial" w:hAnsi="Arial"/>
                <w:sz w:val="13"/>
                <w:szCs w:val="13"/>
                <w:color w:val="0000FF"/>
              </w:rPr>
              <w:t>68,800</w:t>
            </w: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12/11/2028</w:t>
            </w: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restart"/>
          </w:tcPr>
          <w:p>
            <w:pPr>
              <w:ind w:left="2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vMerge w:val="restart"/>
          </w:tcPr>
          <w:p>
            <w:pPr>
              <w:jc w:val="right"/>
              <w:ind w:right="219"/>
              <w:spacing w:after="0" w:line="146" w:lineRule="exact"/>
              <w:rPr>
                <w:sz w:val="20"/>
                <w:szCs w:val="20"/>
                <w:color w:val="auto"/>
              </w:rPr>
            </w:pPr>
            <w:r>
              <w:rPr>
                <w:rFonts w:ascii="Arial" w:cs="Arial" w:eastAsia="Arial" w:hAnsi="Arial"/>
                <w:sz w:val="13"/>
                <w:szCs w:val="13"/>
                <w:color w:val="0000FF"/>
              </w:rPr>
              <w:t>68,800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Subject to continued employment with the Registrant and the other terms and conditions under the Registrant's 2013 Stock Incentive Plan, each of these stock option awards will vest as follows: (1) no shares underlying the option shall vest unless, for a period of twenty consecutive trading days, the average closing sale price of the Registrant's common stock is equal to or exceeds 125% of the exercise price per share of such option (the "Performance Condition"), (2) subject to satisfaction of the Performance Condition, the option shall vest with respect to 25% of the shares subject to the option on the first anniversary of the grant date and with respect to the remaining shares in approximately equal monthly installments through the fourth anniversary of the grant date, and (3) such stock option shall be subject to "double-trigger" acceleration of vesting upon termination of employment following a change in control of the Registrant.</w:t>
      </w:r>
    </w:p>
    <w:p>
      <w:pPr>
        <w:spacing w:after="0" w:line="33"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common stock upon vesting of the unit.</w:t>
      </w:r>
    </w:p>
    <w:p>
      <w:pPr>
        <w:spacing w:after="0" w:line="48"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Subject to continued employment with the Registrant and the other terms and conditions under the Registrant's 2013 Stock Incentive Plan, the award of restricted stock units will vest with respect to 25% of the shares subject to the award on each of the first, second, third and fourth anniversaries of the grant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Index: 24.1 Power of Attorney</w:t>
      </w:r>
    </w:p>
    <w:p>
      <w:pPr>
        <w:spacing w:after="0" w:line="7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Todd Anderman,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986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David R.</w:t>
      </w:r>
      <w:r>
        <w:rPr>
          <w:sz w:val="20"/>
          <w:szCs w:val="20"/>
          <w:color w:val="auto"/>
        </w:rPr>
        <w:tab/>
      </w:r>
      <w:r>
        <w:rPr>
          <w:rFonts w:ascii="Arial" w:cs="Arial" w:eastAsia="Arial" w:hAnsi="Arial"/>
          <w:sz w:val="15"/>
          <w:szCs w:val="15"/>
          <w:color w:val="0000FF"/>
        </w:rPr>
        <w:t>12/14/2018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Guyer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273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305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2" w:lineRule="exact"/>
        <w:rPr>
          <w:sz w:val="20"/>
          <w:szCs w:val="20"/>
          <w:color w:val="auto"/>
        </w:rPr>
      </w:pPr>
    </w:p>
    <w:p>
      <w:pPr>
        <w:ind w:right="80" w:firstLine="635"/>
        <w:spacing w:after="0" w:line="264" w:lineRule="auto"/>
        <w:rPr>
          <w:sz w:val="20"/>
          <w:szCs w:val="20"/>
          <w:color w:val="auto"/>
        </w:rPr>
      </w:pPr>
      <w:r>
        <w:rPr>
          <w:rFonts w:ascii="Arial" w:cs="Arial" w:eastAsia="Arial" w:hAnsi="Arial"/>
          <w:sz w:val="18"/>
          <w:szCs w:val="18"/>
          <w:color w:val="auto"/>
        </w:rPr>
        <w:t>Know all by these presents that the undersigned hereby constitutes and appoints each of David F. Carroll and Todd Anderman, or either of them signing singly, and with full power of substitution, the undersigned’s true and lawful attorney-in-fact to:</w:t>
      </w:r>
    </w:p>
    <w:p>
      <w:pPr>
        <w:spacing w:after="0" w:line="180" w:lineRule="exact"/>
        <w:rPr>
          <w:sz w:val="20"/>
          <w:szCs w:val="20"/>
          <w:color w:val="auto"/>
        </w:rPr>
      </w:pPr>
    </w:p>
    <w:p>
      <w:pPr>
        <w:ind w:left="640" w:right="40" w:hanging="634"/>
        <w:spacing w:after="0" w:line="251"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192" w:lineRule="exact"/>
        <w:rPr>
          <w:rFonts w:ascii="Arial" w:cs="Arial" w:eastAsia="Arial" w:hAnsi="Arial"/>
          <w:sz w:val="18"/>
          <w:szCs w:val="18"/>
          <w:color w:val="auto"/>
        </w:rPr>
      </w:pPr>
    </w:p>
    <w:p>
      <w:pPr>
        <w:ind w:left="640" w:right="220" w:hanging="634"/>
        <w:spacing w:after="0" w:line="364" w:lineRule="auto"/>
        <w:tabs>
          <w:tab w:leader="none" w:pos="647" w:val="left"/>
        </w:tabs>
        <w:numPr>
          <w:ilvl w:val="0"/>
          <w:numId w:val="4"/>
        </w:numPr>
        <w:rPr>
          <w:rFonts w:ascii="Arial" w:cs="Arial" w:eastAsia="Arial" w:hAnsi="Arial"/>
          <w:sz w:val="15"/>
          <w:szCs w:val="15"/>
          <w:color w:val="auto"/>
        </w:rPr>
      </w:pPr>
      <w:r>
        <w:rPr>
          <w:rFonts w:ascii="Arial" w:cs="Arial" w:eastAsia="Arial" w:hAnsi="Arial"/>
          <w:sz w:val="15"/>
          <w:szCs w:val="15"/>
          <w:color w:val="auto"/>
        </w:rPr>
        <w:t>execute for and on behalf of the undersigned, in the undersigned’s capacity as an officer and/or director of Ophthotech Corporation (the “Company”), Forms 3, 4, and 5 in accordance with Section 16(a) of the Securities Exchange Act of 1934, as amended, and the rules thereunder;</w:t>
      </w:r>
    </w:p>
    <w:p>
      <w:pPr>
        <w:spacing w:after="0" w:line="111" w:lineRule="exact"/>
        <w:rPr>
          <w:rFonts w:ascii="Arial" w:cs="Arial" w:eastAsia="Arial" w:hAnsi="Arial"/>
          <w:sz w:val="15"/>
          <w:szCs w:val="15"/>
          <w:color w:val="auto"/>
        </w:rPr>
      </w:pPr>
    </w:p>
    <w:p>
      <w:pPr>
        <w:ind w:left="640" w:right="20" w:hanging="634"/>
        <w:spacing w:after="0" w:line="254"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9" w:lineRule="exact"/>
        <w:rPr>
          <w:rFonts w:ascii="Arial" w:cs="Arial" w:eastAsia="Arial" w:hAnsi="Arial"/>
          <w:sz w:val="18"/>
          <w:szCs w:val="18"/>
          <w:color w:val="auto"/>
        </w:rPr>
      </w:pPr>
    </w:p>
    <w:p>
      <w:pPr>
        <w:ind w:left="640" w:right="40" w:hanging="634"/>
        <w:spacing w:after="0" w:line="251"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635"/>
        <w:spacing w:after="0" w:line="308" w:lineRule="auto"/>
        <w:rPr>
          <w:sz w:val="20"/>
          <w:szCs w:val="20"/>
          <w:color w:val="auto"/>
        </w:rPr>
      </w:pPr>
      <w:r>
        <w:rPr>
          <w:rFonts w:ascii="Arial" w:cs="Arial" w:eastAsia="Arial" w:hAnsi="Arial"/>
          <w:sz w:val="15"/>
          <w:szCs w:val="15"/>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3" w:lineRule="exact"/>
        <w:rPr>
          <w:sz w:val="20"/>
          <w:szCs w:val="20"/>
          <w:color w:val="auto"/>
        </w:rPr>
      </w:pPr>
    </w:p>
    <w:p>
      <w:pPr>
        <w:ind w:right="320" w:firstLine="635"/>
        <w:spacing w:after="0" w:line="25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13th day of December, 2018.</w:t>
      </w:r>
    </w:p>
    <w:p>
      <w:pPr>
        <w:spacing w:after="0" w:line="2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20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20770" cy="8255"/>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18"/>
          <w:szCs w:val="18"/>
          <w:color w:val="auto"/>
        </w:rPr>
        <w:t>Signature</w:t>
      </w:r>
    </w:p>
    <w:p>
      <w:pPr>
        <w:spacing w:after="0" w:line="216"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20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2077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218440</wp:posOffset>
            </wp:positionV>
            <wp:extent cx="7270750" cy="29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70750" cy="2921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277476" TargetMode="External"/><Relationship Id="rId13"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2019-12-23T20:38:03Z</dcterms:created>
  <dcterms:modified xsi:type="dcterms:W3CDTF">2019-12-23T20:38:03Z</dcterms:modified>
</cp:coreProperties>
</file>