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9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9397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Miller Christine Ann</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IVERIC 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ISEE</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05/12/2022</w:t>
            </w: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IVERIC BIO,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8 SYLVAN WAY</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Arial" w:cs="Arial" w:eastAsia="Arial" w:hAnsi="Arial"/>
                <w:sz w:val="17"/>
                <w:szCs w:val="17"/>
                <w:color w:val="0000FF"/>
                <w:w w:val="97"/>
              </w:rPr>
              <w:t>PARSIPPANY   NJ</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07054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900" w:type="dxa"/>
            <w:vAlign w:val="bottom"/>
            <w:tcBorders>
              <w:top w:val="single" w:sz="8" w:color="2C2C2C"/>
            </w:tcBorders>
            <w:gridSpan w:val="19"/>
          </w:tcPr>
          <w:p>
            <w:pPr>
              <w:ind w:left="4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5"/>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90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840" w:type="dxa"/>
            <w:vAlign w:val="bottom"/>
            <w:vMerge w:val="restart"/>
          </w:tcPr>
          <w:p>
            <w:pPr>
              <w:jc w:val="right"/>
              <w:ind w:right="321"/>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right"/>
              <w:ind w:right="49"/>
              <w:spacing w:after="0"/>
              <w:rPr>
                <w:sz w:val="20"/>
                <w:szCs w:val="20"/>
                <w:color w:val="auto"/>
              </w:rPr>
            </w:pPr>
            <w:r>
              <w:rPr>
                <w:rFonts w:ascii="Arial" w:cs="Arial" w:eastAsia="Arial" w:hAnsi="Arial"/>
                <w:sz w:val="17"/>
                <w:szCs w:val="17"/>
                <w:color w:val="0000FF"/>
                <w:w w:val="93"/>
              </w:rPr>
              <w:t>8,075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840" w:type="dxa"/>
            <w:vAlign w:val="bottom"/>
            <w:vMerge w:val="continue"/>
          </w:tcPr>
          <w:p>
            <w:pPr>
              <w:spacing w:after="0"/>
              <w:rPr>
                <w:sz w:val="5"/>
                <w:szCs w:val="5"/>
                <w:color w:val="auto"/>
              </w:rPr>
            </w:pPr>
          </w:p>
        </w:tc>
        <w:tc>
          <w:tcPr>
            <w:tcW w:w="1020" w:type="dxa"/>
            <w:vAlign w:val="bottom"/>
            <w:gridSpan w:val="2"/>
            <w:vMerge w:val="restart"/>
          </w:tcPr>
          <w:p>
            <w:pPr>
              <w:jc w:val="right"/>
              <w:ind w:right="156"/>
              <w:spacing w:after="0" w:line="142" w:lineRule="exact"/>
              <w:rPr>
                <w:sz w:val="20"/>
                <w:szCs w:val="20"/>
                <w:color w:val="auto"/>
              </w:rPr>
            </w:pPr>
            <w:r>
              <w:rPr>
                <w:rFonts w:ascii="Arial" w:cs="Arial" w:eastAsia="Arial" w:hAnsi="Arial"/>
                <w:sz w:val="13"/>
                <w:szCs w:val="13"/>
                <w:color w:val="0000FF"/>
              </w:rPr>
              <w:t>05/12/2022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right"/>
              <w:ind w:right="41"/>
              <w:spacing w:after="0" w:line="142" w:lineRule="exact"/>
              <w:rPr>
                <w:sz w:val="20"/>
                <w:szCs w:val="20"/>
                <w:color w:val="auto"/>
              </w:rPr>
            </w:pPr>
            <w:r>
              <w:rPr>
                <w:rFonts w:ascii="Arial" w:cs="Arial" w:eastAsia="Arial" w:hAnsi="Arial"/>
                <w:sz w:val="13"/>
                <w:szCs w:val="13"/>
                <w:color w:val="0000FF"/>
              </w:rPr>
              <w:t>8,075</w:t>
            </w:r>
          </w:p>
        </w:tc>
        <w:tc>
          <w:tcPr>
            <w:tcW w:w="34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8,075</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tcPr>
          <w:p>
            <w:pPr>
              <w:jc w:val="center"/>
              <w:ind w:right="22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9.94</w:t>
            </w:r>
          </w:p>
        </w:tc>
        <w:tc>
          <w:tcPr>
            <w:tcW w:w="1020" w:type="dxa"/>
            <w:vAlign w:val="bottom"/>
            <w:gridSpan w:val="2"/>
          </w:tcPr>
          <w:p>
            <w:pPr>
              <w:jc w:val="right"/>
              <w:ind w:right="156"/>
              <w:spacing w:after="0"/>
              <w:rPr>
                <w:sz w:val="20"/>
                <w:szCs w:val="20"/>
                <w:color w:val="auto"/>
              </w:rPr>
            </w:pPr>
            <w:r>
              <w:rPr>
                <w:rFonts w:ascii="Arial" w:cs="Arial" w:eastAsia="Arial" w:hAnsi="Arial"/>
                <w:sz w:val="13"/>
                <w:szCs w:val="13"/>
                <w:color w:val="0000FF"/>
              </w:rPr>
              <w:t>05/12/2022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jc w:val="right"/>
              <w:ind w:right="21"/>
              <w:spacing w:after="0"/>
              <w:rPr>
                <w:sz w:val="20"/>
                <w:szCs w:val="20"/>
                <w:color w:val="auto"/>
              </w:rPr>
            </w:pPr>
            <w:r>
              <w:rPr>
                <w:rFonts w:ascii="Arial" w:cs="Arial" w:eastAsia="Arial" w:hAnsi="Arial"/>
                <w:sz w:val="13"/>
                <w:szCs w:val="13"/>
                <w:color w:val="0000FF"/>
              </w:rPr>
              <w:t>12,835</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Arial" w:cs="Arial" w:eastAsia="Arial" w:hAnsi="Arial"/>
                <w:sz w:val="11"/>
                <w:szCs w:val="11"/>
                <w:color w:val="008000"/>
              </w:rPr>
              <w:t>(3)</w:t>
            </w:r>
          </w:p>
        </w:tc>
        <w:tc>
          <w:tcPr>
            <w:tcW w:w="700" w:type="dxa"/>
            <w:vAlign w:val="bottom"/>
            <w:gridSpan w:val="2"/>
          </w:tcPr>
          <w:p>
            <w:pPr>
              <w:jc w:val="right"/>
              <w:ind w:right="3"/>
              <w:spacing w:after="0"/>
              <w:rPr>
                <w:sz w:val="20"/>
                <w:szCs w:val="20"/>
                <w:color w:val="auto"/>
              </w:rPr>
            </w:pPr>
            <w:r>
              <w:rPr>
                <w:rFonts w:ascii="Arial" w:cs="Arial" w:eastAsia="Arial" w:hAnsi="Arial"/>
                <w:sz w:val="13"/>
                <w:szCs w:val="13"/>
                <w:color w:val="0000FF"/>
                <w:w w:val="95"/>
              </w:rPr>
              <w:t>05/11/2032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line="189" w:lineRule="exact"/>
              <w:rPr>
                <w:sz w:val="20"/>
                <w:szCs w:val="20"/>
                <w:color w:val="auto"/>
              </w:rPr>
            </w:pPr>
            <w:r>
              <w:rPr>
                <w:rFonts w:ascii="Arial" w:cs="Arial" w:eastAsia="Arial" w:hAnsi="Arial"/>
                <w:sz w:val="17"/>
                <w:szCs w:val="17"/>
                <w:color w:val="0000FF"/>
                <w:w w:val="84"/>
              </w:rPr>
              <w:t>12,835</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right"/>
              <w:spacing w:after="0"/>
              <w:rPr>
                <w:sz w:val="20"/>
                <w:szCs w:val="20"/>
                <w:color w:val="auto"/>
              </w:rPr>
            </w:pPr>
            <w:r>
              <w:rPr>
                <w:rFonts w:ascii="Arial" w:cs="Arial" w:eastAsia="Arial" w:hAnsi="Arial"/>
                <w:sz w:val="13"/>
                <w:szCs w:val="13"/>
                <w:color w:val="0000FF"/>
              </w:rPr>
              <w:t>12,835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will convert into common stock on a one-for-one basis upon vesting of the units.</w:t>
      </w:r>
    </w:p>
    <w:p>
      <w:pPr>
        <w:spacing w:after="0" w:line="43" w:lineRule="exact"/>
        <w:rPr>
          <w:rFonts w:ascii="Arial" w:cs="Arial" w:eastAsia="Arial" w:hAnsi="Arial"/>
          <w:sz w:val="13"/>
          <w:szCs w:val="13"/>
          <w:color w:val="008000"/>
        </w:rPr>
      </w:pPr>
    </w:p>
    <w:p>
      <w:pPr>
        <w:ind w:left="40" w:right="240" w:firstLine="2"/>
        <w:spacing w:after="0" w:line="236"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accordance with the Registrant's Non-Employee Director Compensation Policy, the Reporting Person was granted 8,075 restricted stock units. Subject to the Reporting Person providing continued services to the Registrant and other terms and conditions under the Registrant's 2013 Stock Incentive Plan, the award of restricted stock units will vest in full on the earlier of the business day immediately prior to the Registrant's 2023 annual meeting of stockholders or the first anniversary of the grant date. Any unvested shares subject to the award of restricted stock units will be accelerated in full upon the occurrence of a change in control event (as defined in the Registrant's 2013 Stock Incentive Plan).</w:t>
      </w:r>
    </w:p>
    <w:p>
      <w:pPr>
        <w:spacing w:after="0" w:line="30" w:lineRule="exact"/>
        <w:rPr>
          <w:rFonts w:ascii="Arial" w:cs="Arial" w:eastAsia="Arial" w:hAnsi="Arial"/>
          <w:sz w:val="13"/>
          <w:szCs w:val="13"/>
          <w:color w:val="008000"/>
        </w:rPr>
      </w:pPr>
    </w:p>
    <w:p>
      <w:pPr>
        <w:ind w:left="40" w:right="160" w:firstLine="2"/>
        <w:spacing w:after="0" w:line="261"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accordance with the Registrant's Non-Employee Director Compensation Policy, the Reporting Person was granted a stock option to purchase 12,835 shares of the Registrant's common stock. Subject to the Reporting Person providing continued services to the Registrant and the other terms and conditions under the Registrant's 2013 Stock Incentive Plan, the stock option award will vest monthly with respect to 1/12 of the shares underlying such stock option award until the earlier of the business day immediately prior to the Registrant's 2023 annual meeting of stockholders or the first anniversary of the grant date. Any unvested shares subject to the stock option award will be accelerated in full upon the occurrence of a change in control event (as defined in the Registrant's 2013 Stock Incentive Plan).</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189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Christine</w:t>
      </w:r>
      <w:r>
        <w:rPr>
          <w:sz w:val="20"/>
          <w:szCs w:val="20"/>
          <w:color w:val="auto"/>
        </w:rPr>
        <w:tab/>
      </w:r>
      <w:r>
        <w:rPr>
          <w:rFonts w:ascii="Arial" w:cs="Arial" w:eastAsia="Arial" w:hAnsi="Arial"/>
          <w:sz w:val="15"/>
          <w:szCs w:val="15"/>
          <w:color w:val="0000FF"/>
        </w:rPr>
        <w:t>05/16/2022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03530" TargetMode="External"/><Relationship Id="rId13"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2022-05-16T17:33:23Z</dcterms:created>
  <dcterms:modified xsi:type="dcterms:W3CDTF">2022-05-16T17:33:23Z</dcterms:modified>
</cp:coreProperties>
</file>