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954405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4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5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9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Date of Report (Date of earliest event reported): May 12, 2022</w:t>
      </w:r>
    </w:p>
    <w:p>
      <w:pPr>
        <w:spacing w:after="0" w:line="21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IVERIC bio, Inc.</w:t>
      </w:r>
    </w:p>
    <w:p>
      <w:pPr>
        <w:spacing w:after="0" w:line="5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36" w:lineRule="exact"/>
        <w:rPr>
          <w:sz w:val="24"/>
          <w:szCs w:val="24"/>
          <w:color w:val="auto"/>
        </w:rPr>
      </w:pPr>
    </w:p>
    <w:tbl>
      <w:tblPr>
        <w:tblLayout w:type="fixed"/>
        <w:tblInd w:w="1160" w:type="dxa"/>
        <w:tblCellMar>
          <w:top w:w="0" w:type="dxa"/>
          <w:left w:w="0" w:type="dxa"/>
          <w:bottom w:w="0" w:type="dxa"/>
          <w:right w:w="0" w:type="dxa"/>
        </w:tblCellMar>
      </w:tblPr>
      <w:tr>
        <w:trPr>
          <w:trHeight w:val="233"/>
        </w:trPr>
        <w:tc>
          <w:tcPr>
            <w:tcW w:w="2960" w:type="dxa"/>
            <w:vAlign w:val="bottom"/>
          </w:tcPr>
          <w:p>
            <w:pPr>
              <w:jc w:val="center"/>
              <w:ind w:right="93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1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001-36080</w:t>
            </w:r>
          </w:p>
        </w:tc>
        <w:tc>
          <w:tcPr>
            <w:tcW w:w="2500" w:type="dxa"/>
            <w:vAlign w:val="bottom"/>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w w:val="98"/>
              </w:rPr>
              <w:t>20-8185347</w:t>
            </w:r>
          </w:p>
        </w:tc>
      </w:tr>
      <w:tr>
        <w:trPr>
          <w:trHeight w:val="180"/>
        </w:trPr>
        <w:tc>
          <w:tcPr>
            <w:tcW w:w="2960" w:type="dxa"/>
            <w:vAlign w:val="bottom"/>
          </w:tcPr>
          <w:p>
            <w:pPr>
              <w:jc w:val="center"/>
              <w:ind w:right="930"/>
              <w:spacing w:after="0" w:line="181"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3160" w:type="dxa"/>
            <w:vAlign w:val="bottom"/>
          </w:tcPr>
          <w:p>
            <w:pPr>
              <w:jc w:val="center"/>
              <w:ind w:right="70"/>
              <w:spacing w:after="0" w:line="181" w:lineRule="exact"/>
              <w:rPr>
                <w:sz w:val="20"/>
                <w:szCs w:val="20"/>
                <w:color w:val="auto"/>
              </w:rPr>
            </w:pPr>
            <w:r>
              <w:rPr>
                <w:rFonts w:ascii="Times New Roman" w:cs="Times New Roman" w:eastAsia="Times New Roman" w:hAnsi="Times New Roman"/>
                <w:sz w:val="18"/>
                <w:szCs w:val="18"/>
                <w:color w:val="auto"/>
                <w:w w:val="98"/>
              </w:rPr>
              <w:t>(Commission</w:t>
            </w:r>
          </w:p>
        </w:tc>
        <w:tc>
          <w:tcPr>
            <w:tcW w:w="2500" w:type="dxa"/>
            <w:vAlign w:val="bottom"/>
          </w:tcPr>
          <w:p>
            <w:pPr>
              <w:jc w:val="center"/>
              <w:ind w:left="1070"/>
              <w:spacing w:after="0" w:line="18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96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w w:val="98"/>
              </w:rPr>
              <w:t>of Incorporation)</w:t>
            </w:r>
          </w:p>
        </w:tc>
        <w:tc>
          <w:tcPr>
            <w:tcW w:w="31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File Number)</w:t>
            </w:r>
          </w:p>
        </w:tc>
        <w:tc>
          <w:tcPr>
            <w:tcW w:w="250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28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8 Sylvan Way</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Parsippany, NJ 07054</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(609) 474-6455</w:t>
      </w:r>
    </w:p>
    <w:p>
      <w:pPr>
        <w:spacing w:after="0" w:line="229" w:lineRule="exact"/>
        <w:rPr>
          <w:sz w:val="24"/>
          <w:szCs w:val="24"/>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1340" w:hanging="684"/>
        <w:spacing w:after="0"/>
        <w:tabs>
          <w:tab w:leader="none" w:pos="1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1340" w:hanging="684"/>
        <w:spacing w:after="0"/>
        <w:tabs>
          <w:tab w:leader="none" w:pos="1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1360" w:hanging="704"/>
        <w:spacing w:after="0"/>
        <w:tabs>
          <w:tab w:leader="none" w:pos="1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2"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29" w:lineRule="exact"/>
        <w:rPr>
          <w:sz w:val="24"/>
          <w:szCs w:val="24"/>
          <w:color w:val="auto"/>
        </w:rPr>
      </w:pPr>
    </w:p>
    <w:tbl>
      <w:tblPr>
        <w:tblLayout w:type="fixed"/>
        <w:tblInd w:w="930" w:type="dxa"/>
        <w:tblCellMar>
          <w:top w:w="0" w:type="dxa"/>
          <w:left w:w="0" w:type="dxa"/>
          <w:bottom w:w="0" w:type="dxa"/>
          <w:right w:w="0" w:type="dxa"/>
        </w:tblCellMar>
      </w:tblPr>
      <w:tr>
        <w:trPr>
          <w:trHeight w:val="243"/>
        </w:trPr>
        <w:tc>
          <w:tcPr>
            <w:tcW w:w="35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14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4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3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ISEE</w:t>
            </w:r>
          </w:p>
        </w:tc>
        <w:tc>
          <w:tcPr>
            <w:tcW w:w="4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319" w:lineRule="exact"/>
        <w:rPr>
          <w:sz w:val="24"/>
          <w:szCs w:val="24"/>
          <w:color w:val="auto"/>
        </w:rPr>
      </w:pPr>
    </w:p>
    <w:p>
      <w:pPr>
        <w:ind w:right="300" w:firstLine="180"/>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79" w:lineRule="exact"/>
        <w:rPr>
          <w:sz w:val="24"/>
          <w:szCs w:val="24"/>
          <w:color w:val="auto"/>
        </w:rPr>
      </w:pPr>
    </w:p>
    <w:p>
      <w:pPr>
        <w:ind w:right="260" w:firstLine="2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1123950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356870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5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IVERIC bio, Inc. ("IVERIC") held its 2022 annual meeting of stockholders on May 12, 2022. The following is a summary of the matters voted on at that meeting.</w:t>
      </w:r>
    </w:p>
    <w:p>
      <w:pPr>
        <w:spacing w:after="0" w:line="189" w:lineRule="exact"/>
        <w:rPr>
          <w:sz w:val="20"/>
          <w:szCs w:val="20"/>
          <w:color w:val="auto"/>
        </w:rPr>
      </w:pPr>
    </w:p>
    <w:p>
      <w:pPr>
        <w:ind w:left="660" w:right="20" w:hanging="328"/>
        <w:spacing w:after="0" w:line="266" w:lineRule="auto"/>
        <w:tabs>
          <w:tab w:leader="none" w:pos="65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IVERIC’s stockholders elected Dr. Adrienne Graves and Ms. Christine Miller as Class III directors to serve until the 2025 annual meeting of stockholders, each such director to hold office until her successor has been duly elected and qualified. The results of the stockholders’ vote for the election of such Class III directors were as follows:</w:t>
      </w:r>
    </w:p>
    <w:p>
      <w:pPr>
        <w:spacing w:after="0" w:line="22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178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For</w:t>
            </w:r>
          </w:p>
        </w:tc>
        <w:tc>
          <w:tcPr>
            <w:tcW w:w="17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Withheld</w:t>
            </w:r>
          </w:p>
        </w:tc>
        <w:tc>
          <w:tcPr>
            <w:tcW w:w="150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90"/>
        </w:trPr>
        <w:tc>
          <w:tcPr>
            <w:tcW w:w="3700" w:type="dxa"/>
            <w:vAlign w:val="bottom"/>
          </w:tcPr>
          <w:p>
            <w:pPr>
              <w:spacing w:after="0"/>
              <w:rPr>
                <w:sz w:val="16"/>
                <w:szCs w:val="16"/>
                <w:color w:val="auto"/>
              </w:rPr>
            </w:pPr>
          </w:p>
        </w:tc>
        <w:tc>
          <w:tcPr>
            <w:tcW w:w="1780" w:type="dxa"/>
            <w:vAlign w:val="bottom"/>
            <w:gridSpan w:val="2"/>
            <w:vMerge w:val="continue"/>
          </w:tcPr>
          <w:p>
            <w:pPr>
              <w:spacing w:after="0"/>
              <w:rPr>
                <w:sz w:val="16"/>
                <w:szCs w:val="16"/>
                <w:color w:val="auto"/>
              </w:rPr>
            </w:pPr>
          </w:p>
        </w:tc>
        <w:tc>
          <w:tcPr>
            <w:tcW w:w="1760" w:type="dxa"/>
            <w:vAlign w:val="bottom"/>
            <w:gridSpan w:val="2"/>
            <w:vMerge w:val="continue"/>
          </w:tcPr>
          <w:p>
            <w:pPr>
              <w:spacing w:after="0"/>
              <w:rPr>
                <w:sz w:val="16"/>
                <w:szCs w:val="16"/>
                <w:color w:val="auto"/>
              </w:rPr>
            </w:pPr>
          </w:p>
        </w:tc>
        <w:tc>
          <w:tcPr>
            <w:tcW w:w="150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Non-Votes</w:t>
            </w:r>
          </w:p>
        </w:tc>
        <w:tc>
          <w:tcPr>
            <w:tcW w:w="0" w:type="dxa"/>
            <w:vAlign w:val="bottom"/>
          </w:tcPr>
          <w:p>
            <w:pPr>
              <w:spacing w:after="0"/>
              <w:rPr>
                <w:sz w:val="1"/>
                <w:szCs w:val="1"/>
                <w:color w:val="auto"/>
              </w:rPr>
            </w:pPr>
          </w:p>
        </w:tc>
      </w:tr>
      <w:tr>
        <w:trPr>
          <w:trHeight w:val="50"/>
        </w:trPr>
        <w:tc>
          <w:tcPr>
            <w:tcW w:w="3700" w:type="dxa"/>
            <w:vAlign w:val="bottom"/>
            <w:tcBorders>
              <w:bottom w:val="single" w:sz="8" w:color="CCEEFF"/>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Adrienne Graves</w:t>
            </w:r>
          </w:p>
        </w:tc>
        <w:tc>
          <w:tcPr>
            <w:tcW w:w="15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84,393,059</w:t>
            </w:r>
          </w:p>
        </w:tc>
        <w:tc>
          <w:tcPr>
            <w:tcW w:w="28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8,395,468</w:t>
            </w:r>
          </w:p>
        </w:tc>
        <w:tc>
          <w:tcPr>
            <w:tcW w:w="2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11,268,075</w:t>
            </w:r>
          </w:p>
        </w:tc>
        <w:tc>
          <w:tcPr>
            <w:tcW w:w="0" w:type="dxa"/>
            <w:vAlign w:val="bottom"/>
          </w:tcPr>
          <w:p>
            <w:pPr>
              <w:spacing w:after="0"/>
              <w:rPr>
                <w:sz w:val="1"/>
                <w:szCs w:val="1"/>
                <w:color w:val="auto"/>
              </w:rPr>
            </w:pPr>
          </w:p>
        </w:tc>
      </w:tr>
      <w:tr>
        <w:trPr>
          <w:trHeight w:val="27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Christine Miller</w:t>
            </w:r>
          </w:p>
        </w:tc>
        <w:tc>
          <w:tcPr>
            <w:tcW w:w="15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92,685,329</w:t>
            </w:r>
          </w:p>
        </w:tc>
        <w:tc>
          <w:tcPr>
            <w:tcW w:w="2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103,198</w:t>
            </w:r>
          </w:p>
        </w:tc>
        <w:tc>
          <w:tcPr>
            <w:tcW w:w="26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11,268,075</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ind w:left="660" w:right="100" w:hanging="328"/>
        <w:spacing w:after="0" w:line="312" w:lineRule="auto"/>
        <w:tabs>
          <w:tab w:leader="none" w:pos="72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IVERIC’s stockholders approved a non-binding, advisory proposal on the compensation of IVERIC’s named executive officers, as described in the definitive proxy statement for the 2022 annual meeting of stockholders. The results of the stockholders’ vote for such matter were as follows:</w:t>
      </w:r>
    </w:p>
    <w:p>
      <w:pPr>
        <w:spacing w:after="0" w:line="186"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360" w:type="dxa"/>
            <w:vAlign w:val="bottom"/>
            <w:gridSpan w:val="2"/>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For</w:t>
            </w:r>
          </w:p>
        </w:tc>
        <w:tc>
          <w:tcPr>
            <w:tcW w:w="2240" w:type="dxa"/>
            <w:vAlign w:val="bottom"/>
            <w:gridSpan w:val="2"/>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240" w:type="dxa"/>
            <w:vAlign w:val="bottom"/>
            <w:gridSpan w:val="2"/>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93"/>
        </w:trPr>
        <w:tc>
          <w:tcPr>
            <w:tcW w:w="2360" w:type="dxa"/>
            <w:vAlign w:val="bottom"/>
            <w:gridSpan w:val="2"/>
            <w:vMerge w:val="continue"/>
          </w:tcPr>
          <w:p>
            <w:pPr>
              <w:spacing w:after="0"/>
              <w:rPr>
                <w:sz w:val="16"/>
                <w:szCs w:val="16"/>
                <w:color w:val="auto"/>
              </w:rPr>
            </w:pPr>
          </w:p>
        </w:tc>
        <w:tc>
          <w:tcPr>
            <w:tcW w:w="2240" w:type="dxa"/>
            <w:vAlign w:val="bottom"/>
            <w:gridSpan w:val="2"/>
            <w:vMerge w:val="continue"/>
          </w:tcPr>
          <w:p>
            <w:pPr>
              <w:spacing w:after="0"/>
              <w:rPr>
                <w:sz w:val="16"/>
                <w:szCs w:val="16"/>
                <w:color w:val="auto"/>
              </w:rPr>
            </w:pPr>
          </w:p>
        </w:tc>
        <w:tc>
          <w:tcPr>
            <w:tcW w:w="2240" w:type="dxa"/>
            <w:vAlign w:val="bottom"/>
            <w:gridSpan w:val="2"/>
            <w:vMerge w:val="continue"/>
          </w:tcPr>
          <w:p>
            <w:pPr>
              <w:spacing w:after="0"/>
              <w:rPr>
                <w:sz w:val="16"/>
                <w:szCs w:val="16"/>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Non-Votes</w:t>
            </w:r>
          </w:p>
        </w:tc>
        <w:tc>
          <w:tcPr>
            <w:tcW w:w="0" w:type="dxa"/>
            <w:vAlign w:val="bottom"/>
          </w:tcPr>
          <w:p>
            <w:pPr>
              <w:spacing w:after="0"/>
              <w:rPr>
                <w:sz w:val="1"/>
                <w:szCs w:val="1"/>
                <w:color w:val="auto"/>
              </w:rPr>
            </w:pPr>
          </w:p>
        </w:tc>
      </w:tr>
      <w:tr>
        <w:trPr>
          <w:trHeight w:val="51"/>
        </w:trPr>
        <w:tc>
          <w:tcPr>
            <w:tcW w:w="2060" w:type="dxa"/>
            <w:vAlign w:val="bottom"/>
            <w:tcBorders>
              <w:bottom w:val="single" w:sz="8" w:color="auto"/>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91,162,825</w:t>
            </w:r>
          </w:p>
        </w:tc>
        <w:tc>
          <w:tcPr>
            <w:tcW w:w="3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1,602,973</w:t>
            </w:r>
          </w:p>
        </w:tc>
        <w:tc>
          <w:tcPr>
            <w:tcW w:w="3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22,729</w:t>
            </w:r>
          </w:p>
        </w:tc>
        <w:tc>
          <w:tcPr>
            <w:tcW w:w="3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11,268,075</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660" w:right="160" w:hanging="328"/>
        <w:spacing w:after="0" w:line="312" w:lineRule="auto"/>
        <w:tabs>
          <w:tab w:leader="none" w:pos="65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IVERIC’s stockholders recommended, in a non-binding, advisory vote, that future advisory votes on the compensation of the Company’s named executive officers be held with a frequency of every one year. The results of the stockholders’ vote with respect to such matter were as follows:</w:t>
      </w:r>
    </w:p>
    <w:p>
      <w:pPr>
        <w:spacing w:after="0" w:line="188"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w:t>
            </w:r>
          </w:p>
        </w:tc>
      </w:tr>
      <w:tr>
        <w:trPr>
          <w:trHeight w:val="217"/>
        </w:trPr>
        <w:tc>
          <w:tcPr>
            <w:tcW w:w="156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48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2 Years</w:t>
            </w:r>
          </w:p>
        </w:tc>
        <w:tc>
          <w:tcPr>
            <w:tcW w:w="186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3 Years</w:t>
            </w:r>
          </w:p>
        </w:tc>
        <w:tc>
          <w:tcPr>
            <w:tcW w:w="174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Non-Votes</w:t>
            </w:r>
          </w:p>
        </w:tc>
      </w:tr>
      <w:tr>
        <w:trPr>
          <w:trHeight w:val="23"/>
        </w:trPr>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23"/>
        </w:trPr>
        <w:tc>
          <w:tcPr>
            <w:tcW w:w="13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91,544,190</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31,751</w:t>
            </w: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1,175,710</w:t>
            </w:r>
          </w:p>
        </w:tc>
        <w:tc>
          <w:tcPr>
            <w:tcW w:w="3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36,876</w:t>
            </w:r>
          </w:p>
        </w:tc>
        <w:tc>
          <w:tcPr>
            <w:tcW w:w="26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11,268,075</w:t>
            </w:r>
          </w:p>
        </w:tc>
      </w:tr>
    </w:tbl>
    <w:p>
      <w:pPr>
        <w:spacing w:after="0" w:line="373" w:lineRule="exact"/>
        <w:rPr>
          <w:sz w:val="20"/>
          <w:szCs w:val="20"/>
          <w:color w:val="auto"/>
        </w:rPr>
      </w:pPr>
    </w:p>
    <w:p>
      <w:pPr>
        <w:ind w:left="420" w:right="220"/>
        <w:spacing w:after="0" w:line="282" w:lineRule="auto"/>
        <w:rPr>
          <w:sz w:val="20"/>
          <w:szCs w:val="20"/>
          <w:color w:val="auto"/>
        </w:rPr>
      </w:pPr>
      <w:r>
        <w:rPr>
          <w:rFonts w:ascii="Times New Roman" w:cs="Times New Roman" w:eastAsia="Times New Roman" w:hAnsi="Times New Roman"/>
          <w:sz w:val="18"/>
          <w:szCs w:val="18"/>
          <w:color w:val="auto"/>
        </w:rPr>
        <w:t>Consistent with these results, IVERIC's Board of Directors determined that future advisory votes on named executive officer compensation will be held every year until the next required advisory vote on the frequency of shareholder votes on executive compensation.</w:t>
      </w:r>
    </w:p>
    <w:p>
      <w:pPr>
        <w:spacing w:after="0" w:line="189" w:lineRule="exact"/>
        <w:rPr>
          <w:sz w:val="20"/>
          <w:szCs w:val="20"/>
          <w:color w:val="auto"/>
        </w:rPr>
      </w:pPr>
    </w:p>
    <w:p>
      <w:pPr>
        <w:ind w:left="660" w:right="260" w:hanging="328"/>
        <w:spacing w:after="0" w:line="270" w:lineRule="auto"/>
        <w:tabs>
          <w:tab w:leader="none" w:pos="66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IVERIC’s stockholders ratified the selection of Ernst &amp; Young LLP as IVERIC’s independent registered public accounting firm for the current fiscal year. The results of the stockholders’ vote for such matter were as follows:</w:t>
      </w:r>
    </w:p>
    <w:tbl>
      <w:tblPr>
        <w:tblLayout w:type="fixed"/>
        <w:tblInd w:w="340" w:type="dxa"/>
        <w:tblCellMar>
          <w:top w:w="0" w:type="dxa"/>
          <w:left w:w="0" w:type="dxa"/>
          <w:bottom w:w="0" w:type="dxa"/>
          <w:right w:w="0" w:type="dxa"/>
        </w:tblCellMar>
      </w:tblPr>
      <w:tr>
        <w:trPr>
          <w:trHeight w:val="149"/>
        </w:trPr>
        <w:tc>
          <w:tcPr>
            <w:tcW w:w="2360" w:type="dxa"/>
            <w:vAlign w:val="bottom"/>
            <w:gridSpan w:val="2"/>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For</w:t>
            </w:r>
          </w:p>
        </w:tc>
        <w:tc>
          <w:tcPr>
            <w:tcW w:w="2240" w:type="dxa"/>
            <w:vAlign w:val="bottom"/>
            <w:gridSpan w:val="2"/>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240" w:type="dxa"/>
            <w:vAlign w:val="bottom"/>
            <w:gridSpan w:val="2"/>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90"/>
        </w:trPr>
        <w:tc>
          <w:tcPr>
            <w:tcW w:w="2360" w:type="dxa"/>
            <w:vAlign w:val="bottom"/>
            <w:gridSpan w:val="2"/>
            <w:vMerge w:val="continue"/>
          </w:tcPr>
          <w:p>
            <w:pPr>
              <w:spacing w:after="0"/>
              <w:rPr>
                <w:sz w:val="16"/>
                <w:szCs w:val="16"/>
                <w:color w:val="auto"/>
              </w:rPr>
            </w:pPr>
          </w:p>
        </w:tc>
        <w:tc>
          <w:tcPr>
            <w:tcW w:w="2240" w:type="dxa"/>
            <w:vAlign w:val="bottom"/>
            <w:gridSpan w:val="2"/>
            <w:vMerge w:val="continue"/>
          </w:tcPr>
          <w:p>
            <w:pPr>
              <w:spacing w:after="0"/>
              <w:rPr>
                <w:sz w:val="16"/>
                <w:szCs w:val="16"/>
                <w:color w:val="auto"/>
              </w:rPr>
            </w:pPr>
          </w:p>
        </w:tc>
        <w:tc>
          <w:tcPr>
            <w:tcW w:w="2240" w:type="dxa"/>
            <w:vAlign w:val="bottom"/>
            <w:gridSpan w:val="2"/>
            <w:vMerge w:val="continue"/>
          </w:tcPr>
          <w:p>
            <w:pPr>
              <w:spacing w:after="0"/>
              <w:rPr>
                <w:sz w:val="16"/>
                <w:szCs w:val="16"/>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Non-Votes</w:t>
            </w:r>
          </w:p>
        </w:tc>
        <w:tc>
          <w:tcPr>
            <w:tcW w:w="0" w:type="dxa"/>
            <w:vAlign w:val="bottom"/>
          </w:tcPr>
          <w:p>
            <w:pPr>
              <w:spacing w:after="0"/>
              <w:rPr>
                <w:sz w:val="1"/>
                <w:szCs w:val="1"/>
                <w:color w:val="auto"/>
              </w:rPr>
            </w:pPr>
          </w:p>
        </w:tc>
      </w:tr>
      <w:tr>
        <w:trPr>
          <w:trHeight w:val="50"/>
        </w:trPr>
        <w:tc>
          <w:tcPr>
            <w:tcW w:w="208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103,982,814</w:t>
            </w:r>
          </w:p>
        </w:tc>
        <w:tc>
          <w:tcPr>
            <w:tcW w:w="2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55,418</w:t>
            </w:r>
          </w:p>
        </w:tc>
        <w:tc>
          <w:tcPr>
            <w:tcW w:w="2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18,370</w:t>
            </w:r>
          </w:p>
        </w:tc>
        <w:tc>
          <w:tcPr>
            <w:tcW w:w="2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31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 May 12, 2022, IVERIC’s Board of Directors (the “Board”) appointed Ms. Christine Miller, as Chair, Dr. Mark Blumenkranz, as a member, and Mr. Axel Bolte, as a member of its newly formed Business Development and Strategy Committee (the "Committee"). In accordance with IVERIC’s Non-Employee Director Compensation Policy (the “Policy”) the Board has provided that Ms. Miller is eligible to receive annual cash compensation in the amount of $10,000 for her service as Chair of the Committee and Dr. Mark Blumenkranz and Mr. Axel Bolte are each eligible to receive annual cash compensation in the amount of $5,000 for their service as members of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30" w:right="37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1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708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IVERIC bio, Inc.</w:t>
            </w:r>
          </w:p>
        </w:tc>
      </w:tr>
      <w:tr>
        <w:trPr>
          <w:trHeight w:val="48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Date: May 18, 2022</w:t>
            </w:r>
          </w:p>
        </w:tc>
        <w:tc>
          <w:tcPr>
            <w:tcW w:w="236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David F. Carroll</w:t>
            </w:r>
          </w:p>
        </w:tc>
      </w:tr>
      <w:tr>
        <w:trPr>
          <w:trHeight w:val="218"/>
        </w:trPr>
        <w:tc>
          <w:tcPr>
            <w:tcW w:w="32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F. Carroll</w:t>
            </w:r>
          </w:p>
        </w:tc>
      </w:tr>
      <w:tr>
        <w:trPr>
          <w:trHeight w:val="234"/>
        </w:trPr>
        <w:tc>
          <w:tcPr>
            <w:tcW w:w="32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Chief 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0920"/>
      </w:cols>
      <w:pgMar w:left="320" w:top="1103"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2"/>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2022-05-18T15:26:40Z</dcterms:created>
  <dcterms:modified xsi:type="dcterms:W3CDTF">2022-05-18T15:26:40Z</dcterms:modified>
</cp:coreProperties>
</file>