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4580" w:type="dxa"/>
            <w:vAlign w:val="bottom"/>
          </w:tcPr>
          <w:p>
            <w:pPr>
              <w:jc w:val="center"/>
              <w:ind w:right="610"/>
              <w:spacing w:after="0"/>
              <w:rPr>
                <w:sz w:val="20"/>
                <w:szCs w:val="20"/>
                <w:color w:val="auto"/>
              </w:rPr>
            </w:pPr>
            <w:r>
              <w:rPr>
                <w:rFonts w:ascii="Arial" w:cs="Arial" w:eastAsia="Arial" w:hAnsi="Arial"/>
                <w:sz w:val="18"/>
                <w:szCs w:val="18"/>
                <w:color w:val="auto"/>
                <w:w w:val="98"/>
              </w:rPr>
              <w:t>MORGAN STANLEY &amp; CO. LLC</w:t>
            </w:r>
          </w:p>
        </w:tc>
        <w:tc>
          <w:tcPr>
            <w:tcW w:w="4380" w:type="dxa"/>
            <w:vAlign w:val="bottom"/>
          </w:tcPr>
          <w:p>
            <w:pPr>
              <w:jc w:val="center"/>
              <w:ind w:left="1750"/>
              <w:spacing w:after="0"/>
              <w:rPr>
                <w:sz w:val="20"/>
                <w:szCs w:val="20"/>
                <w:color w:val="auto"/>
              </w:rPr>
            </w:pPr>
            <w:r>
              <w:rPr>
                <w:rFonts w:ascii="Arial" w:cs="Arial" w:eastAsia="Arial" w:hAnsi="Arial"/>
                <w:sz w:val="18"/>
                <w:szCs w:val="18"/>
                <w:color w:val="auto"/>
                <w:w w:val="94"/>
              </w:rPr>
              <w:t>J.P. MORGAN SECURITIES LLC</w:t>
            </w:r>
          </w:p>
        </w:tc>
      </w:tr>
      <w:tr>
        <w:trPr>
          <w:trHeight w:val="216"/>
        </w:trPr>
        <w:tc>
          <w:tcPr>
            <w:tcW w:w="960" w:type="dxa"/>
            <w:vAlign w:val="bottom"/>
          </w:tcPr>
          <w:p>
            <w:pPr>
              <w:spacing w:after="0"/>
              <w:rPr>
                <w:sz w:val="18"/>
                <w:szCs w:val="18"/>
                <w:color w:val="auto"/>
              </w:rPr>
            </w:pPr>
          </w:p>
        </w:tc>
        <w:tc>
          <w:tcPr>
            <w:tcW w:w="4580" w:type="dxa"/>
            <w:vAlign w:val="bottom"/>
          </w:tcPr>
          <w:p>
            <w:pPr>
              <w:jc w:val="center"/>
              <w:ind w:right="630"/>
              <w:spacing w:after="0"/>
              <w:rPr>
                <w:sz w:val="20"/>
                <w:szCs w:val="20"/>
                <w:color w:val="auto"/>
              </w:rPr>
            </w:pPr>
            <w:r>
              <w:rPr>
                <w:rFonts w:ascii="Arial" w:cs="Arial" w:eastAsia="Arial" w:hAnsi="Arial"/>
                <w:sz w:val="18"/>
                <w:szCs w:val="18"/>
                <w:color w:val="auto"/>
                <w:w w:val="91"/>
              </w:rPr>
              <w:t>1585 Broadway</w:t>
            </w:r>
          </w:p>
        </w:tc>
        <w:tc>
          <w:tcPr>
            <w:tcW w:w="4380" w:type="dxa"/>
            <w:vAlign w:val="bottom"/>
          </w:tcPr>
          <w:p>
            <w:pPr>
              <w:jc w:val="center"/>
              <w:ind w:left="1750"/>
              <w:spacing w:after="0"/>
              <w:rPr>
                <w:sz w:val="20"/>
                <w:szCs w:val="20"/>
                <w:color w:val="auto"/>
              </w:rPr>
            </w:pPr>
            <w:r>
              <w:rPr>
                <w:rFonts w:ascii="Arial" w:cs="Arial" w:eastAsia="Arial" w:hAnsi="Arial"/>
                <w:sz w:val="18"/>
                <w:szCs w:val="18"/>
                <w:color w:val="auto"/>
                <w:w w:val="91"/>
              </w:rPr>
              <w:t>383 Madison Avenue</w:t>
            </w:r>
          </w:p>
        </w:tc>
      </w:tr>
      <w:tr>
        <w:trPr>
          <w:trHeight w:val="230"/>
        </w:trPr>
        <w:tc>
          <w:tcPr>
            <w:tcW w:w="960" w:type="dxa"/>
            <w:vAlign w:val="bottom"/>
          </w:tcPr>
          <w:p>
            <w:pPr>
              <w:spacing w:after="0"/>
              <w:rPr>
                <w:sz w:val="20"/>
                <w:szCs w:val="20"/>
                <w:color w:val="auto"/>
              </w:rPr>
            </w:pPr>
          </w:p>
        </w:tc>
        <w:tc>
          <w:tcPr>
            <w:tcW w:w="4580" w:type="dxa"/>
            <w:vAlign w:val="bottom"/>
          </w:tcPr>
          <w:p>
            <w:pPr>
              <w:jc w:val="center"/>
              <w:ind w:right="630"/>
              <w:spacing w:after="0"/>
              <w:rPr>
                <w:sz w:val="20"/>
                <w:szCs w:val="20"/>
                <w:color w:val="auto"/>
              </w:rPr>
            </w:pPr>
            <w:r>
              <w:rPr>
                <w:rFonts w:ascii="Arial" w:cs="Arial" w:eastAsia="Arial" w:hAnsi="Arial"/>
                <w:sz w:val="18"/>
                <w:szCs w:val="18"/>
                <w:color w:val="auto"/>
                <w:w w:val="93"/>
              </w:rPr>
              <w:t>New York, New York 10036</w:t>
            </w:r>
          </w:p>
        </w:tc>
        <w:tc>
          <w:tcPr>
            <w:tcW w:w="4380" w:type="dxa"/>
            <w:vAlign w:val="bottom"/>
          </w:tcPr>
          <w:p>
            <w:pPr>
              <w:jc w:val="center"/>
              <w:ind w:left="1750"/>
              <w:spacing w:after="0"/>
              <w:rPr>
                <w:sz w:val="20"/>
                <w:szCs w:val="20"/>
                <w:color w:val="auto"/>
              </w:rPr>
            </w:pPr>
            <w:r>
              <w:rPr>
                <w:rFonts w:ascii="Arial" w:cs="Arial" w:eastAsia="Arial" w:hAnsi="Arial"/>
                <w:sz w:val="18"/>
                <w:szCs w:val="18"/>
                <w:color w:val="auto"/>
                <w:w w:val="93"/>
              </w:rPr>
              <w:t>New York, NY 10179</w:t>
            </w:r>
          </w:p>
        </w:tc>
      </w:tr>
      <w:tr>
        <w:trPr>
          <w:trHeight w:val="446"/>
        </w:trPr>
        <w:tc>
          <w:tcPr>
            <w:tcW w:w="9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380" w:type="dxa"/>
            <w:vAlign w:val="bottom"/>
          </w:tcPr>
          <w:p>
            <w:pPr>
              <w:ind w:left="1280"/>
              <w:spacing w:after="0"/>
              <w:rPr>
                <w:sz w:val="20"/>
                <w:szCs w:val="20"/>
                <w:color w:val="auto"/>
              </w:rPr>
            </w:pPr>
            <w:r>
              <w:rPr>
                <w:rFonts w:ascii="Arial" w:cs="Arial" w:eastAsia="Arial" w:hAnsi="Arial"/>
                <w:sz w:val="18"/>
                <w:szCs w:val="18"/>
                <w:color w:val="auto"/>
              </w:rPr>
              <w:t>September 20, 2013</w:t>
            </w:r>
          </w:p>
        </w:tc>
      </w:tr>
      <w:tr>
        <w:trPr>
          <w:trHeight w:val="392"/>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Via EDGAR</w:t>
            </w:r>
          </w:p>
        </w:tc>
        <w:tc>
          <w:tcPr>
            <w:tcW w:w="4380" w:type="dxa"/>
            <w:vAlign w:val="bottom"/>
          </w:tcPr>
          <w:p>
            <w:pPr>
              <w:spacing w:after="0"/>
              <w:rPr>
                <w:sz w:val="24"/>
                <w:szCs w:val="24"/>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38"/>
        </w:trPr>
        <w:tc>
          <w:tcPr>
            <w:tcW w:w="554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c>
          <w:tcPr>
            <w:tcW w:w="4380" w:type="dxa"/>
            <w:vAlign w:val="bottom"/>
          </w:tcPr>
          <w:p>
            <w:pPr>
              <w:spacing w:after="0"/>
              <w:rPr>
                <w:sz w:val="24"/>
                <w:szCs w:val="24"/>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4380" w:type="dxa"/>
            <w:vAlign w:val="bottom"/>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4380" w:type="dxa"/>
            <w:vAlign w:val="bottom"/>
          </w:tcPr>
          <w:p>
            <w:pPr>
              <w:spacing w:after="0"/>
              <w:rPr>
                <w:sz w:val="18"/>
                <w:szCs w:val="18"/>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4380" w:type="dxa"/>
            <w:vAlign w:val="bottom"/>
          </w:tcPr>
          <w:p>
            <w:pPr>
              <w:spacing w:after="0"/>
              <w:rPr>
                <w:sz w:val="20"/>
                <w:szCs w:val="20"/>
                <w:color w:val="auto"/>
              </w:rPr>
            </w:pPr>
          </w:p>
        </w:tc>
      </w:tr>
      <w:tr>
        <w:trPr>
          <w:trHeight w:val="441"/>
        </w:trPr>
        <w:tc>
          <w:tcPr>
            <w:tcW w:w="5540" w:type="dxa"/>
            <w:vAlign w:val="bottom"/>
            <w:gridSpan w:val="2"/>
          </w:tcPr>
          <w:p>
            <w:pPr>
              <w:ind w:left="460"/>
              <w:spacing w:after="0"/>
              <w:rPr>
                <w:sz w:val="20"/>
                <w:szCs w:val="20"/>
                <w:color w:val="auto"/>
              </w:rPr>
            </w:pPr>
            <w:r>
              <w:rPr>
                <w:rFonts w:ascii="Arial" w:cs="Arial" w:eastAsia="Arial" w:hAnsi="Arial"/>
                <w:sz w:val="18"/>
                <w:szCs w:val="18"/>
                <w:b w:val="1"/>
                <w:bCs w:val="1"/>
                <w:color w:val="auto"/>
              </w:rPr>
              <w:t>Re:  Ophthotech Corporation (the “Registrant”)</w:t>
            </w:r>
          </w:p>
        </w:tc>
        <w:tc>
          <w:tcPr>
            <w:tcW w:w="4380" w:type="dxa"/>
            <w:vAlign w:val="bottom"/>
          </w:tcPr>
          <w:p>
            <w:pPr>
              <w:spacing w:after="0"/>
              <w:rPr>
                <w:sz w:val="24"/>
                <w:szCs w:val="24"/>
                <w:color w:val="auto"/>
              </w:rPr>
            </w:pPr>
          </w:p>
        </w:tc>
      </w:tr>
      <w:tr>
        <w:trPr>
          <w:trHeight w:val="216"/>
        </w:trPr>
        <w:tc>
          <w:tcPr>
            <w:tcW w:w="5540" w:type="dxa"/>
            <w:vAlign w:val="bottom"/>
            <w:gridSpan w:val="2"/>
          </w:tcPr>
          <w:p>
            <w:pPr>
              <w:ind w:left="920"/>
              <w:spacing w:after="0"/>
              <w:rPr>
                <w:sz w:val="20"/>
                <w:szCs w:val="20"/>
                <w:color w:val="auto"/>
              </w:rPr>
            </w:pPr>
            <w:r>
              <w:rPr>
                <w:rFonts w:ascii="Arial" w:cs="Arial" w:eastAsia="Arial" w:hAnsi="Arial"/>
                <w:sz w:val="18"/>
                <w:szCs w:val="18"/>
                <w:b w:val="1"/>
                <w:bCs w:val="1"/>
                <w:color w:val="auto"/>
              </w:rPr>
              <w:t>Registration Statement on Form S-1</w:t>
            </w:r>
          </w:p>
        </w:tc>
        <w:tc>
          <w:tcPr>
            <w:tcW w:w="4380" w:type="dxa"/>
            <w:vAlign w:val="bottom"/>
          </w:tcPr>
          <w:p>
            <w:pPr>
              <w:spacing w:after="0"/>
              <w:rPr>
                <w:sz w:val="18"/>
                <w:szCs w:val="18"/>
                <w:color w:val="auto"/>
              </w:rPr>
            </w:pPr>
          </w:p>
        </w:tc>
      </w:tr>
      <w:tr>
        <w:trPr>
          <w:trHeight w:val="234"/>
        </w:trPr>
        <w:tc>
          <w:tcPr>
            <w:tcW w:w="5540" w:type="dxa"/>
            <w:vAlign w:val="bottom"/>
            <w:gridSpan w:val="2"/>
          </w:tcPr>
          <w:p>
            <w:pPr>
              <w:ind w:left="920"/>
              <w:spacing w:after="0"/>
              <w:rPr>
                <w:sz w:val="20"/>
                <w:szCs w:val="20"/>
                <w:color w:val="auto"/>
              </w:rPr>
            </w:pPr>
            <w:r>
              <w:rPr>
                <w:rFonts w:ascii="Arial" w:cs="Arial" w:eastAsia="Arial" w:hAnsi="Arial"/>
                <w:sz w:val="18"/>
                <w:szCs w:val="18"/>
                <w:b w:val="1"/>
                <w:bCs w:val="1"/>
                <w:color w:val="auto"/>
              </w:rPr>
              <w:t>File No. 333-190643</w:t>
            </w:r>
          </w:p>
        </w:tc>
        <w:tc>
          <w:tcPr>
            <w:tcW w:w="4380" w:type="dxa"/>
            <w:vAlign w:val="bottom"/>
          </w:tcPr>
          <w:p>
            <w:pPr>
              <w:spacing w:after="0"/>
              <w:rPr>
                <w:sz w:val="20"/>
                <w:szCs w:val="20"/>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Ladies and Gentlemen:</w:t>
            </w:r>
          </w:p>
        </w:tc>
        <w:tc>
          <w:tcPr>
            <w:tcW w:w="4380" w:type="dxa"/>
            <w:vAlign w:val="bottom"/>
          </w:tcPr>
          <w:p>
            <w:pPr>
              <w:spacing w:after="0"/>
              <w:rPr>
                <w:sz w:val="24"/>
                <w:szCs w:val="24"/>
                <w:color w:val="auto"/>
              </w:rPr>
            </w:pPr>
          </w:p>
        </w:tc>
      </w:tr>
    </w:tbl>
    <w:p>
      <w:pPr>
        <w:spacing w:after="0" w:line="202" w:lineRule="exact"/>
        <w:rPr>
          <w:sz w:val="24"/>
          <w:szCs w:val="24"/>
          <w:color w:val="auto"/>
        </w:rPr>
      </w:pPr>
    </w:p>
    <w:p>
      <w:pPr>
        <w:ind w:right="380" w:firstLine="456"/>
        <w:spacing w:after="0" w:line="264" w:lineRule="auto"/>
        <w:rPr>
          <w:sz w:val="20"/>
          <w:szCs w:val="20"/>
          <w:color w:val="auto"/>
        </w:rPr>
      </w:pPr>
      <w:r>
        <w:rPr>
          <w:rFonts w:ascii="Arial" w:cs="Arial" w:eastAsia="Arial" w:hAnsi="Arial"/>
          <w:sz w:val="18"/>
          <w:szCs w:val="18"/>
          <w:color w:val="auto"/>
        </w:rPr>
        <w:t>Pursuant to Rule 460 of the General Rules and Regulations under the Securities Act of 1933, as amended (the “Act”), we, as representatives of the several underwriters, wish to advise you that we have distributed 7,100 copies of the preliminary prospectus issued September 9, 2013 through the date hereof, to underwriters, dealers, institutions and others.</w:t>
      </w:r>
    </w:p>
    <w:p>
      <w:pPr>
        <w:spacing w:after="0" w:line="181" w:lineRule="exact"/>
        <w:rPr>
          <w:sz w:val="24"/>
          <w:szCs w:val="24"/>
          <w:color w:val="auto"/>
        </w:rPr>
      </w:pPr>
    </w:p>
    <w:p>
      <w:pPr>
        <w:ind w:right="200" w:firstLine="456"/>
        <w:spacing w:after="0" w:line="308" w:lineRule="auto"/>
        <w:rPr>
          <w:sz w:val="20"/>
          <w:szCs w:val="20"/>
          <w:color w:val="auto"/>
        </w:rPr>
      </w:pPr>
      <w:r>
        <w:rPr>
          <w:rFonts w:ascii="Arial" w:cs="Arial" w:eastAsia="Arial" w:hAnsi="Arial"/>
          <w:sz w:val="17"/>
          <w:szCs w:val="17"/>
          <w:color w:val="auto"/>
        </w:rPr>
        <w:t>Each of the undersigned advises that it has complied and will continue to comply, and we have been informed by the other participating underwriters that they have complied and will continue to comply, with Rule 15c2-8 under the Securities Exchange Act of 1934, as amended.</w:t>
      </w:r>
    </w:p>
    <w:p>
      <w:pPr>
        <w:spacing w:after="0" w:line="147" w:lineRule="exact"/>
        <w:rPr>
          <w:sz w:val="24"/>
          <w:szCs w:val="24"/>
          <w:color w:val="auto"/>
        </w:rPr>
      </w:pPr>
    </w:p>
    <w:p>
      <w:pPr>
        <w:jc w:val="both"/>
        <w:ind w:firstLine="456"/>
        <w:spacing w:after="0" w:line="264" w:lineRule="auto"/>
        <w:rPr>
          <w:sz w:val="20"/>
          <w:szCs w:val="20"/>
          <w:color w:val="auto"/>
        </w:rPr>
      </w:pPr>
      <w:r>
        <w:rPr>
          <w:rFonts w:ascii="Arial" w:cs="Arial" w:eastAsia="Arial" w:hAnsi="Arial"/>
          <w:sz w:val="18"/>
          <w:szCs w:val="18"/>
          <w:color w:val="auto"/>
        </w:rPr>
        <w:t>On September 18, 2013, the Corporate Financing Department of the Financial Industry Regulatory Authority, Inc. issued a letter confirming that it has reviewed the above-captioned proposed offering and that it has determined to raise no objections with respect to the fairness of the terms and arrangements of the offering.</w:t>
      </w:r>
    </w:p>
    <w:p>
      <w:pPr>
        <w:spacing w:after="0" w:line="181" w:lineRule="exact"/>
        <w:rPr>
          <w:sz w:val="24"/>
          <w:szCs w:val="24"/>
          <w:color w:val="auto"/>
        </w:rPr>
      </w:pPr>
    </w:p>
    <w:p>
      <w:pPr>
        <w:ind w:right="280" w:firstLine="456"/>
        <w:spacing w:after="0" w:line="264" w:lineRule="auto"/>
        <w:rPr>
          <w:sz w:val="20"/>
          <w:szCs w:val="20"/>
          <w:color w:val="auto"/>
        </w:rPr>
      </w:pPr>
      <w:r>
        <w:rPr>
          <w:rFonts w:ascii="Arial" w:cs="Arial" w:eastAsia="Arial" w:hAnsi="Arial"/>
          <w:sz w:val="18"/>
          <w:szCs w:val="18"/>
          <w:color w:val="auto"/>
        </w:rPr>
        <w:t>In accordance with Rule 461 of the Act, we wish to advise you that we hereby join with the Registrant’s request that the effective date of the above-captioned Registration Statement be accelerated so that the same will become effective by 4:00 p.m., Eastern time, on September 24, 2013 or as soon as practicable thereafter.</w:t>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as Representatives of the several</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Underwriters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Jon Zimmerman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Khaled Habayeb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Khaled Habayeb</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Executive Director</w:t>
      </w:r>
    </w:p>
    <w:p>
      <w:pPr>
        <w:spacing w:after="0" w:line="238" w:lineRule="exact"/>
        <w:rPr>
          <w:sz w:val="20"/>
          <w:szCs w:val="20"/>
          <w:color w:val="auto"/>
        </w:rPr>
      </w:pPr>
    </w:p>
    <w:p>
      <w:pPr>
        <w:ind w:left="460" w:right="6319" w:hanging="452"/>
        <w:spacing w:after="0" w:line="258" w:lineRule="auto"/>
        <w:tabs>
          <w:tab w:leader="none" w:pos="449" w:val="left"/>
        </w:tabs>
        <w:numPr>
          <w:ilvl w:val="0"/>
          <w:numId w:val="1"/>
        </w:numPr>
        <w:rPr>
          <w:rFonts w:ascii="Arial" w:cs="Arial" w:eastAsia="Arial" w:hAnsi="Arial"/>
          <w:sz w:val="18"/>
          <w:szCs w:val="18"/>
          <w:color w:val="auto"/>
        </w:rPr>
      </w:pPr>
      <w:r>
        <w:rPr>
          <w:rFonts w:ascii="Arial" w:cs="Arial" w:eastAsia="Arial" w:hAnsi="Arial"/>
          <w:sz w:val="18"/>
          <w:szCs w:val="18"/>
          <w:color w:val="auto"/>
        </w:rPr>
        <w:t>David R. Guyer, M.D., Ophthotech Corporation David E. Redlick, WilmerHale</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Brian A. Johnson, WilmerHale</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Richard D. Truesdell, Jr., Davis Polk &amp; Wardwell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2019-12-07T16:12:37Z</dcterms:created>
  <dcterms:modified xsi:type="dcterms:W3CDTF">2019-12-07T16:12:37Z</dcterms:modified>
</cp:coreProperties>
</file>