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Gibney Anthony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IVERIC 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SYLVAN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IVERIC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ISEE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7"/>
          <w:szCs w:val="17"/>
          <w:color w:val="0000FF"/>
        </w:rPr>
        <w:t>EVP, Chief Business Officer</w:t>
      </w:r>
    </w:p>
    <w:p>
      <w:pPr>
        <w:spacing w:after="0" w:line="38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0"/>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PARSIPPANY   NJ</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07054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06/30/2022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18,750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18,750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07/05/2022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7,791</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9.41</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10,959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06/30/2022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18,750</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56,250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5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converted into common stock on a one-for-one basis upon vesting upon the achievement of certain performance criteria, pursuant to the applicable Restricted Stock Unit Agreement.</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pursuant to the prespecified terms of the applicable Restricted Stock Unit Agreement to satisfy the Reporting Person's minimum statutory withholding obligations with respect to the income recognized by the Reporting Person upon the vesting of the restricted stock units on June 30, 2022.</w:t>
      </w:r>
    </w:p>
    <w:p>
      <w:pPr>
        <w:spacing w:after="0" w:line="16" w:lineRule="exact"/>
        <w:rPr>
          <w:rFonts w:ascii="Times New Roman" w:cs="Times New Roman" w:eastAsia="Times New Roman" w:hAnsi="Times New Roman"/>
          <w:sz w:val="13"/>
          <w:szCs w:val="13"/>
          <w:color w:val="008000"/>
        </w:rPr>
      </w:pPr>
    </w:p>
    <w:p>
      <w:pPr>
        <w:ind w:left="40" w:right="3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of the Reporting Person's shares represents the weighted average price of all shares sold by a broker in multiple transactions effected at prices ranging from $9.37 to $9.47 on July 5, 2022 on behalf of the Reporting Person to satisfy the payment of withholding tax liability of the Reporting Person. The Reporting Person undertakes to provide upon request by the staff of the Securities Exchange Commission, the Registrant or a security holder of the Registrant, information regarding the number of shares sold at each price within the range.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common stock upon vesting of the unit.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employment with the Registrant and the other terms and conditions under the Registrant's 2019 Inducement Stock Incentive Plan, the award of restricted stock units will vest based on the achievement of certain performance milestones.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Todd D.C. Anderman,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Anthony</w:t>
      </w:r>
      <w:r>
        <w:rPr>
          <w:sz w:val="20"/>
          <w:szCs w:val="20"/>
          <w:color w:val="auto"/>
        </w:rPr>
        <w:tab/>
      </w:r>
      <w:r>
        <w:rPr>
          <w:rFonts w:ascii="Times New Roman" w:cs="Times New Roman" w:eastAsia="Times New Roman" w:hAnsi="Times New Roman"/>
          <w:sz w:val="16"/>
          <w:szCs w:val="16"/>
          <w:color w:val="0000FF"/>
        </w:rPr>
        <w:t>07/05/2022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Gibney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13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0132" TargetMode="External"/><Relationship Id="rId13"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2022-07-05T17:32:07Z</dcterms:created>
  <dcterms:modified xsi:type="dcterms:W3CDTF">2022-07-05T17:32:07Z</dcterms:modified>
</cp:coreProperties>
</file>