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 Registration No. 333-260406​</w:t>
      </w:r>
    </w:p>
    <w:p>
      <w:pPr>
        <w:spacing w:after="0" w:line="50" w:lineRule="exact"/>
        <w:rPr>
          <w:sz w:val="24"/>
          <w:szCs w:val="24"/>
          <w:color w:val="auto"/>
        </w:rPr>
      </w:pPr>
    </w:p>
    <w:p>
      <w:pPr>
        <w:ind w:left="126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PROSPECTUS SUPPLEMENT</w:t>
      </w:r>
      <w:r>
        <w:rPr>
          <w:sz w:val="20"/>
          <w:szCs w:val="20"/>
          <w:color w:val="auto"/>
        </w:rPr>
        <w:tab/>
      </w:r>
      <w:r>
        <w:rPr>
          <w:rFonts w:ascii="Times New Roman" w:cs="Times New Roman" w:eastAsia="Times New Roman" w:hAnsi="Times New Roman"/>
          <w:sz w:val="17"/>
          <w:szCs w:val="17"/>
          <w:b w:val="1"/>
          <w:bCs w:val="1"/>
          <w:color w:val="auto"/>
        </w:rPr>
        <w:t>To Prospectus Dated October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2754630</wp:posOffset>
            </wp:positionH>
            <wp:positionV relativeFrom="paragraph">
              <wp:posOffset>320040</wp:posOffset>
            </wp:positionV>
            <wp:extent cx="130302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13,350,000 Shares of Common Stock</w:t>
      </w:r>
    </w:p>
    <w:p>
      <w:pPr>
        <w:spacing w:after="0" w:line="200" w:lineRule="exact"/>
        <w:rPr>
          <w:sz w:val="24"/>
          <w:szCs w:val="24"/>
          <w:color w:val="auto"/>
        </w:rPr>
      </w:pPr>
    </w:p>
    <w:p>
      <w:pPr>
        <w:spacing w:after="0" w:line="252"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offering 13,350,000 shares of our common stock.</w:t>
      </w:r>
    </w:p>
    <w:p>
      <w:pPr>
        <w:spacing w:after="0" w:line="144" w:lineRule="exact"/>
        <w:rPr>
          <w:sz w:val="24"/>
          <w:szCs w:val="24"/>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“ISEE”. On November 30, 2022, the last reported sale price of our common stock on The Nasdaq Global Select Market was $23.62 per share.</w:t>
      </w:r>
    </w:p>
    <w:p>
      <w:pPr>
        <w:spacing w:after="0" w:line="104" w:lineRule="exact"/>
        <w:rPr>
          <w:sz w:val="24"/>
          <w:szCs w:val="24"/>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business and an investment in our common stock involve significant risks. These risks are described under the caption “Risk Factors” beginning on page </w:t>
      </w:r>
      <w:r>
        <w:rPr>
          <w:rFonts w:ascii="Times New Roman" w:cs="Times New Roman" w:eastAsia="Times New Roman" w:hAnsi="Times New Roman"/>
          <w:sz w:val="18"/>
          <w:szCs w:val="18"/>
          <w:b w:val="1"/>
          <w:bCs w:val="1"/>
          <w:u w:val="single" w:color="auto"/>
          <w:color w:val="0000EE"/>
        </w:rPr>
        <w:t>S-10</w:t>
      </w:r>
      <w:r>
        <w:rPr>
          <w:rFonts w:ascii="Times New Roman" w:cs="Times New Roman" w:eastAsia="Times New Roman" w:hAnsi="Times New Roman"/>
          <w:sz w:val="18"/>
          <w:szCs w:val="18"/>
          <w:b w:val="1"/>
          <w:bCs w:val="1"/>
          <w:color w:val="auto"/>
        </w:rPr>
        <w:t xml:space="preserve"> of this prospectus supplement.</w:t>
      </w:r>
    </w:p>
    <w:p>
      <w:pPr>
        <w:spacing w:after="0" w:line="91" w:lineRule="exact"/>
        <w:rPr>
          <w:sz w:val="24"/>
          <w:szCs w:val="24"/>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 w:lineRule="exact"/>
        <w:rPr>
          <w:sz w:val="24"/>
          <w:szCs w:val="24"/>
          <w:color w:val="auto"/>
        </w:rPr>
      </w:pPr>
    </w:p>
    <w:tbl>
      <w:tblPr>
        <w:tblLayout w:type="fixed"/>
        <w:tblInd w:w="1260" w:type="dxa"/>
        <w:tblCellMar>
          <w:top w:w="0" w:type="dxa"/>
          <w:left w:w="0" w:type="dxa"/>
          <w:bottom w:w="0" w:type="dxa"/>
          <w:right w:w="0" w:type="dxa"/>
        </w:tblCellMar>
      </w:tblPr>
      <w:tr>
        <w:trPr>
          <w:trHeight w:val="365"/>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2"/>
          </w:tcPr>
          <w:p>
            <w:pPr>
              <w:ind w:left="14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21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$22.50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$300,375,000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discounts</w:t>
            </w:r>
          </w:p>
        </w:tc>
        <w:tc>
          <w:tcPr>
            <w:tcW w:w="21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 ​ ​$ 1.35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18,022,500​</w:t>
            </w:r>
          </w:p>
        </w:tc>
      </w:tr>
      <w:tr>
        <w:trPr>
          <w:trHeight w:val="25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before expenses, to IVERIC bio, Inc.</w:t>
            </w:r>
          </w:p>
        </w:tc>
        <w:tc>
          <w:tcPr>
            <w:tcW w:w="21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b w:val="1"/>
                <w:bCs w:val="1"/>
                <w:color w:val="auto"/>
              </w:rPr>
              <w:t>​ ​ ​$21.15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​​$282,352,500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45688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0" w:lineRule="exact"/>
        <w:rPr>
          <w:sz w:val="24"/>
          <w:szCs w:val="24"/>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underwriters may also purchase up to an additional 2,002,500 shares of our common stock from us at the public offering price, less the underwriting discount, within 30 days from the date of the prospectus.</w:t>
      </w:r>
    </w:p>
    <w:p>
      <w:pPr>
        <w:spacing w:after="0" w:line="81" w:lineRule="exact"/>
        <w:rPr>
          <w:sz w:val="24"/>
          <w:szCs w:val="24"/>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 December 5, 2022.</w:t>
      </w:r>
    </w:p>
    <w:p>
      <w:pPr>
        <w:spacing w:after="0" w:line="374"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w w:val="96"/>
              </w:rPr>
              <w:t>Book-Running Managers</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13"/>
        </w:trPr>
        <w:tc>
          <w:tcPr>
            <w:tcW w:w="252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Morgan Stanley</w:t>
            </w:r>
          </w:p>
        </w:tc>
        <w:tc>
          <w:tcPr>
            <w:tcW w:w="2960" w:type="dxa"/>
            <w:vAlign w:val="bottom"/>
            <w:gridSpan w:val="3"/>
          </w:tcPr>
          <w:p>
            <w:pPr>
              <w:ind w:left="380"/>
              <w:spacing w:after="0"/>
              <w:rPr>
                <w:sz w:val="20"/>
                <w:szCs w:val="20"/>
                <w:color w:val="auto"/>
              </w:rPr>
            </w:pPr>
            <w:r>
              <w:rPr>
                <w:rFonts w:ascii="Times New Roman" w:cs="Times New Roman" w:eastAsia="Times New Roman" w:hAnsi="Times New Roman"/>
                <w:sz w:val="32"/>
                <w:szCs w:val="32"/>
                <w:b w:val="1"/>
                <w:bCs w:val="1"/>
                <w:color w:val="auto"/>
              </w:rPr>
              <w:t>BofA Securities</w:t>
            </w:r>
          </w:p>
        </w:tc>
        <w:tc>
          <w:tcPr>
            <w:tcW w:w="1600" w:type="dxa"/>
            <w:vAlign w:val="bottom"/>
          </w:tcPr>
          <w:p>
            <w:pPr>
              <w:ind w:left="220"/>
              <w:spacing w:after="0"/>
              <w:rPr>
                <w:sz w:val="20"/>
                <w:szCs w:val="20"/>
                <w:color w:val="auto"/>
              </w:rPr>
            </w:pPr>
            <w:r>
              <w:rPr>
                <w:rFonts w:ascii="Times New Roman" w:cs="Times New Roman" w:eastAsia="Times New Roman" w:hAnsi="Times New Roman"/>
                <w:sz w:val="32"/>
                <w:szCs w:val="32"/>
                <w:b w:val="1"/>
                <w:bCs w:val="1"/>
                <w:color w:val="auto"/>
              </w:rPr>
              <w:t>Cowen</w:t>
            </w:r>
          </w:p>
        </w:tc>
        <w:tc>
          <w:tcPr>
            <w:tcW w:w="1140" w:type="dxa"/>
            <w:vAlign w:val="bottom"/>
          </w:tcPr>
          <w:p>
            <w:pPr>
              <w:ind w:left="440"/>
              <w:spacing w:after="0"/>
              <w:rPr>
                <w:sz w:val="20"/>
                <w:szCs w:val="20"/>
                <w:color w:val="auto"/>
              </w:rPr>
            </w:pPr>
            <w:r>
              <w:rPr>
                <w:rFonts w:ascii="Times New Roman" w:cs="Times New Roman" w:eastAsia="Times New Roman" w:hAnsi="Times New Roman"/>
                <w:sz w:val="32"/>
                <w:szCs w:val="32"/>
                <w:b w:val="1"/>
                <w:bCs w:val="1"/>
                <w:color w:val="auto"/>
                <w:w w:val="95"/>
              </w:rPr>
              <w:t>Stifel</w:t>
            </w:r>
          </w:p>
        </w:tc>
      </w:tr>
      <w:tr>
        <w:trPr>
          <w:trHeight w:val="334"/>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6"/>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6"/>
              </w:rPr>
              <w:t>Lead Manager</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6"/>
        </w:trPr>
        <w:tc>
          <w:tcPr>
            <w:tcW w:w="2520" w:type="dxa"/>
            <w:vAlign w:val="bottom"/>
          </w:tcPr>
          <w:p>
            <w:pPr>
              <w:spacing w:after="0"/>
              <w:rPr>
                <w:sz w:val="24"/>
                <w:szCs w:val="24"/>
                <w:color w:val="auto"/>
              </w:rPr>
            </w:pPr>
          </w:p>
        </w:tc>
        <w:tc>
          <w:tcPr>
            <w:tcW w:w="2960" w:type="dxa"/>
            <w:vAlign w:val="bottom"/>
            <w:gridSpan w:val="3"/>
          </w:tcPr>
          <w:p>
            <w:pPr>
              <w:jc w:val="center"/>
              <w:ind w:left="67"/>
              <w:spacing w:after="0"/>
              <w:rPr>
                <w:sz w:val="20"/>
                <w:szCs w:val="20"/>
                <w:color w:val="auto"/>
              </w:rPr>
            </w:pPr>
            <w:r>
              <w:rPr>
                <w:rFonts w:ascii="Times New Roman" w:cs="Times New Roman" w:eastAsia="Times New Roman" w:hAnsi="Times New Roman"/>
                <w:sz w:val="29"/>
                <w:szCs w:val="29"/>
                <w:b w:val="1"/>
                <w:bCs w:val="1"/>
                <w:color w:val="auto"/>
                <w:w w:val="95"/>
              </w:rPr>
              <w:t>Wedbush PacGrow</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9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November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793115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MATERIAL U.S. FEDERAL TAX CONSIDERATIONS FOR HOLDERS OF OUR COMMON</w:t>
      </w:r>
    </w:p>
    <w:p>
      <w:pPr>
        <w:spacing w:after="0" w:line="23" w:lineRule="exact"/>
        <w:rPr>
          <w:sz w:val="20"/>
          <w:szCs w:val="20"/>
          <w:color w:val="auto"/>
        </w:rPr>
      </w:pPr>
    </w:p>
    <w:p>
      <w:pPr>
        <w:ind w:left="1440" w:hanging="180"/>
        <w:spacing w:after="0"/>
        <w:tabs>
          <w:tab w:leader="none" w:pos="1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STOCK</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auto"/>
        </w:rPr>
      </w:pPr>
    </w:p>
    <w:p>
      <w:pPr>
        <w:ind w:left="1260" w:right="5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184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IVERIC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FORMS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w:t>
      </w:r>
    </w:p>
    <w:p>
      <w:pPr>
        <w:sectPr>
          <w:pgSz w:w="11900" w:h="16838" w:orient="portrait"/>
          <w:cols w:equalWidth="0" w:num="2">
            <w:col w:w="8460" w:space="48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32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or incorporated by reference in this prospectus supplement, in the accompanying prospectus or in any free writing prospectus prepared by or on behalf of us or to which we have referred you. Neither we nor the underwriters take any responsibility for, and can provide no assurance as to the reliability of, any other information that others may give you.</w:t>
      </w:r>
    </w:p>
    <w:p>
      <w:pPr>
        <w:spacing w:after="0" w:line="9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such free writing prospectus do not constitute an offer to sell, or a solicitation of an offer to purchase, the securities offered by this prospectus supplement, the accompanying prospectus and any such free writing prospectus in any jurisdiction to or from any person to whom or from whom it is unlawful to make such offer or solicitation of an offer in such jurisdiction. You should assume that the information appearing in this prospectus supplement, the accompanying prospectus and the documents incorporated by reference herein and in any free writing prospectus that we have authorized for use in connection with this offering is accurate only as of the date of those respective documents. It is important for you to read and consider all information contained in this prospectus supplement and in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by Reference” in this prospectus supplement and in the accompanying prospectus.</w:t>
      </w:r>
    </w:p>
    <w:p>
      <w:pPr>
        <w:spacing w:after="0" w:line="33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accompanying prospectus comes are advised to inform themselves about and to observe any restrictions relating to the offering and the distribution of this prospectus supplement and accompanying prospectus.</w:t>
      </w:r>
    </w:p>
    <w:p>
      <w:pPr>
        <w:spacing w:after="0" w:line="32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and the accompanying prospectus to “IVERIC,” “we,” “our,” “us,” and “the Company” refer, collectively, to IVERIC bio, Inc., a Delaware corporation, and its consolidated subsidiaries, or any one or more of them as the context may require. When we refer to “you” in this prospectus supplement, we mean all purchasers of the securities being offered by this prospectus supplement and the accompanying prospectus, whether they are the holders or only indirect owners of those securities.</w:t>
      </w:r>
    </w:p>
    <w:p>
      <w:pPr>
        <w:spacing w:after="0" w:line="3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firstLine="360"/>
        <w:spacing w:after="0" w:line="233" w:lineRule="auto"/>
        <w:rPr>
          <w:sz w:val="20"/>
          <w:szCs w:val="20"/>
          <w:color w:val="auto"/>
        </w:rPr>
      </w:pPr>
      <w:r>
        <w:rPr>
          <w:rFonts w:ascii="Times New Roman" w:cs="Times New Roman" w:eastAsia="Times New Roman" w:hAnsi="Times New Roman"/>
          <w:sz w:val="18"/>
          <w:szCs w:val="18"/>
          <w:color w:val="auto"/>
        </w:rPr>
        <w:t xml:space="preserve">The trademarks, trade names and service marks appearing in this prospectus supplement and accompanying prospectus are the property of their respective owners. We have omitted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designations, as applicable, for the trademarks named in this prospectus supplement and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by reference in this prospectus supplement and the accompanying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supplement and the accompanying prospectus, and the information incorporated by reference herein and therein,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2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include, among other things, statements about:</w:t>
      </w:r>
    </w:p>
    <w:p>
      <w:pPr>
        <w:spacing w:after="0" w:line="40" w:lineRule="exact"/>
        <w:rPr>
          <w:sz w:val="20"/>
          <w:szCs w:val="20"/>
          <w:color w:val="auto"/>
        </w:rPr>
      </w:pPr>
    </w:p>
    <w:p>
      <w:pPr>
        <w:ind w:left="1800" w:right="9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business plan and strategy, including our goal to deliver treatment options for various stages of age-related macular degeneration (AMD);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3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results from GATHER1, our completed Phase 3 clinical trial evaluating avacincaptad pegol (Zimura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)for the treatment of Geographic Atrophy (GA) secondary to AMD, and from GATHER2, our ongoing Phase 3 clinical trial evaluating avacincaptad pegol for the treatment of GA secondary to AMD, on our business and regulatory strategy, including our plans to submit a new drug application to the U.S. Food and Drug Administration (FDA) and a marketing authorization application to the European Medicines Agency;</w:t>
      </w:r>
    </w:p>
    <w:p>
      <w:pPr>
        <w:spacing w:after="0" w:line="81"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GATHER2, including expectations regarding patient retention, and the safety profile of avacincaptad pegol, including from our open-label extension study for patients who completed the GATHER2 trial, and expectations regarding the potential for avacincaptad pegol to receive regulatory approval for the treatment of GA secondary to AMD based on the clinical trial results we have received to date;</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utility of avacincaptad pegol for the treatment of intermediate AMD;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strategy for the potential commercialization of avacincaptad pegol,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capabilities and capacity for the manufacture of avacincaptad pegol and our other product candidates, including scale up and validation of the manufacturing process for avacincaptad pegol drug substance and drug product, and securing the supply of the polyethylene glycol starting material and other materials for our expected manufacturing needs and securing the supply of avacincaptad pegol drug substance and drug product for our expected needs;</w:t>
      </w:r>
    </w:p>
    <w:p>
      <w:pPr>
        <w:spacing w:after="0" w:line="75"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evaluating, obtaining rights to, developing and potentially commercializing new formulations of avacincaptad pegol with the silica-based sustained release technology we in-licensed from DelSiTech Ltd. (DelSiTech) and other sustained release delivery technologies for avacincaptad pegol;</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STAR, our ongoing Phase 2b screening trial evaluating avacincaptad pegol for the treatment of autosomal recessive Stargardt disease, including expectations regarding the recruitment of additional patients for this trial;</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consummate business development transactions, including potential collaboration opportunities for further development and potential commercialization of avacincaptad pegol outside the United States and potential collaboration or outlicense opportunities for further development of IC-100 and IC-200; and in-licenses or other opportunities to acquire rights to additional product candidates or technologies to treat retinal diseases, including additional sustained release delivery technologies for avacincaptad pegol;</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expected effects of the COVID-19 pandemic, other macro-economic events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7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debt service obligations, the sufficiency of our cash resources and our capital requirements and need for, and ability to obtain, additional financing;</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raise additional capital, including through equity offerings, debt financings, collaborations, strategic alliances, licensing arrangements, royalty agreements and marketing and distribution arrangements;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borrowings under our Loan and Security Agreement with Hercules Capital, Inc. and Silicon Valley Bank;</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58"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7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number of patients affected by the diseases our product candidates and development programs are intended to treat;</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 including our ability to obtain coverage and reimbursement for those product candidates, if approved;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potential market acceptance and clinical utility of our product candidates, if approved;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revenues from future sales of our product candidates, if approved;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personnel and human capital resources;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new governmental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use of proceeds from this offering and our existing cash resources.</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and the accompanying prospectus, particularly under the heading “Risk Factors,” and in the risk factors included in our periodic reports filed with the Securities and Exchange Commission, or the SEC, and in the other documents filed with the SEC and incorporated by reference in this prospectus supplement and the accompanying prospectus, that could cause actual results or events to differ materially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75" w:lineRule="auto"/>
        <w:rPr>
          <w:sz w:val="20"/>
          <w:szCs w:val="20"/>
          <w:color w:val="auto"/>
        </w:rPr>
      </w:pPr>
      <w:r>
        <w:rPr>
          <w:rFonts w:ascii="Times New Roman" w:cs="Times New Roman" w:eastAsia="Times New Roman" w:hAnsi="Times New Roman"/>
          <w:sz w:val="18"/>
          <w:szCs w:val="18"/>
          <w:color w:val="auto"/>
        </w:rPr>
        <w:t>from the forward-looking statements that we make. Our forward-looking statements do not reflect the potential impact of any future acquisitions, mergers, licenses, dispositions, joint ventures or investments we may make.</w:t>
      </w:r>
    </w:p>
    <w:p>
      <w:pPr>
        <w:spacing w:after="0" w:line="32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and the accompanying prospectus, and the documents incorporated by reference herein and therein, completely and with the understanding that our actual future results may be materially different from what we expect. We do not assume any obligation to update any forward-looking statements except as required by applicable law.</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33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23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and the accompanying prospectus and in the documents incorporated by reference herein and therein. This summary does not contain all of the information you should consider before investing in our common stock. You should read this entire prospectus supplement and the accompanying prospectus carefully, especially the risks of investing in our common stock discussed under “Risk Factors” beginning on page </w:t>
      </w:r>
      <w:r>
        <w:rPr>
          <w:rFonts w:ascii="Times New Roman" w:cs="Times New Roman" w:eastAsia="Times New Roman" w:hAnsi="Times New Roman"/>
          <w:sz w:val="18"/>
          <w:szCs w:val="18"/>
          <w:i w:val="1"/>
          <w:iCs w:val="1"/>
          <w:u w:val="single" w:color="auto"/>
          <w:color w:val="0000EE"/>
        </w:rPr>
        <w:t>S-10</w:t>
      </w:r>
      <w:r>
        <w:rPr>
          <w:rFonts w:ascii="Times New Roman" w:cs="Times New Roman" w:eastAsia="Times New Roman" w:hAnsi="Times New Roman"/>
          <w:sz w:val="18"/>
          <w:szCs w:val="18"/>
          <w:i w:val="1"/>
          <w:iCs w:val="1"/>
          <w:color w:val="auto"/>
        </w:rPr>
        <w:t xml:space="preserve"> of this prospectus supplement and in our periodic and other reports filed with the SEC, along with our consolidated financial statements and notes to those consolidated financial statements and the other information incorporated by reference in this prospectus supplement and the accompanying prospectus, before making an investment decision.</w:t>
      </w:r>
    </w:p>
    <w:p>
      <w:pPr>
        <w:spacing w:after="0" w:line="18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IVERIC BIO, INC.</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62"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99" w:lineRule="exact"/>
        <w:rPr>
          <w:sz w:val="20"/>
          <w:szCs w:val="20"/>
          <w:color w:val="auto"/>
        </w:rPr>
      </w:pPr>
    </w:p>
    <w:p>
      <w:pPr>
        <w:jc w:val="both"/>
        <w:ind w:left="1280" w:right="639" w:firstLine="360"/>
        <w:spacing w:after="0" w:line="228" w:lineRule="auto"/>
        <w:rPr>
          <w:sz w:val="20"/>
          <w:szCs w:val="20"/>
          <w:color w:val="auto"/>
        </w:rPr>
      </w:pPr>
      <w:r>
        <w:rPr>
          <w:rFonts w:ascii="Times New Roman" w:cs="Times New Roman" w:eastAsia="Times New Roman" w:hAnsi="Times New Roman"/>
          <w:sz w:val="18"/>
          <w:szCs w:val="18"/>
          <w:color w:val="auto"/>
        </w:rPr>
        <w:t>Our lead asset is our clinical stage product candidate avacincaptad pegol, which is also referred to as Zimura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complement C5 inhibitor. We are currently targeting the following diseases with avacincaptad pegol:</w:t>
      </w:r>
    </w:p>
    <w:p>
      <w:pPr>
        <w:spacing w:after="0" w:line="106" w:lineRule="exact"/>
        <w:rPr>
          <w:sz w:val="20"/>
          <w:szCs w:val="20"/>
          <w:color w:val="auto"/>
        </w:rPr>
      </w:pPr>
    </w:p>
    <w:p>
      <w:pPr>
        <w:ind w:left="1820" w:right="6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Atrophy, or GA, which is the advanced stage of AMD and is characterized by marked thinning or atrophy of retinal tissue, leading to irreversible loss of vision;</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 AMD, which is an earlier stage of AMD that precedes GA; and</w:t>
      </w:r>
    </w:p>
    <w:p>
      <w:pPr>
        <w:spacing w:after="0" w:line="117" w:lineRule="exact"/>
        <w:rPr>
          <w:rFonts w:ascii="Times New Roman" w:cs="Times New Roman" w:eastAsia="Times New Roman" w:hAnsi="Times New Roman"/>
          <w:sz w:val="18"/>
          <w:szCs w:val="18"/>
          <w:color w:val="auto"/>
        </w:rPr>
      </w:pPr>
    </w:p>
    <w:p>
      <w:pPr>
        <w:ind w:left="1820" w:right="75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08" w:lineRule="exact"/>
        <w:rPr>
          <w:sz w:val="20"/>
          <w:szCs w:val="20"/>
          <w:color w:val="auto"/>
        </w:rPr>
      </w:pPr>
    </w:p>
    <w:p>
      <w:pPr>
        <w:ind w:left="1280" w:right="459" w:firstLine="360"/>
        <w:spacing w:after="0" w:line="252" w:lineRule="auto"/>
        <w:rPr>
          <w:sz w:val="20"/>
          <w:szCs w:val="20"/>
          <w:color w:val="auto"/>
        </w:rPr>
      </w:pPr>
      <w:r>
        <w:rPr>
          <w:rFonts w:ascii="Times New Roman" w:cs="Times New Roman" w:eastAsia="Times New Roman" w:hAnsi="Times New Roman"/>
          <w:sz w:val="18"/>
          <w:szCs w:val="18"/>
          <w:color w:val="auto"/>
        </w:rPr>
        <w:t>In October 2019, we announced positive 12-month data for GATHER1, our first Phase 3 clinical trial evaluating avacincaptad pegol for the treatment of GA secondary to AMD. In GATHER1, 286 patients were randomized to receive various doses of avacincaptad pegol, including avacincaptad pegol 2 mg, or sham control. We observed a 27.7% (p-value = 0.0063) reduction in the mean rate of growth (slope) estimated based on GA area between the avacincaptad pegol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 post-hoc analysis of the GATHER1 data using the U.S. Food and Drug Administration, or FDA, preferred primary efficacy endpoint analysis from our Special Protocol Assessment, or the SPA, which we describe further below. We analyzed the endpoint by using the square root transformation of the GA area, which we refer to as the primary analysis, and we analyzed the endpoint by using the observed GA area (without square root transformation), which we refer to as the supportive analysis. In GATHER1, through month 12, we did not observe any events of endophthalmitis or ischemic optic neuropathy events, and only one case of intraocular inflammation, which was mild and transient and reported as related to the injection procedure. The incidence of choroidal neovascularization, or CNV, in the study eye through month 12 was 6 patients (9.0%) in the avacincaptad pegol 2 mg group and 3 patients (2.7%) in the corresponding sham control group.</w:t>
      </w:r>
    </w:p>
    <w:p>
      <w:pPr>
        <w:spacing w:after="0" w:line="126" w:lineRule="exact"/>
        <w:rPr>
          <w:sz w:val="20"/>
          <w:szCs w:val="20"/>
          <w:color w:val="auto"/>
        </w:rPr>
      </w:pPr>
    </w:p>
    <w:p>
      <w:pPr>
        <w:ind w:left="1280" w:right="479" w:firstLine="360"/>
        <w:spacing w:after="0" w:line="255" w:lineRule="auto"/>
        <w:rPr>
          <w:sz w:val="20"/>
          <w:szCs w:val="20"/>
          <w:color w:val="auto"/>
        </w:rPr>
      </w:pPr>
      <w:r>
        <w:rPr>
          <w:rFonts w:ascii="Times New Roman" w:cs="Times New Roman" w:eastAsia="Times New Roman" w:hAnsi="Times New Roman"/>
          <w:sz w:val="18"/>
          <w:szCs w:val="18"/>
          <w:color w:val="auto"/>
        </w:rPr>
        <w:t>In June 2020, we started enrolling patients in GATHER2, our second Phase 3 clinical trial evaluating avacincaptad pegol for the treatment of GA secondary to AMD. In July 2021, we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fundus autofluorescence,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FAF, at three timepoints: baseline, month 6 and month 12, to the mean rate of growth (slope) estimated</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based on GA area measured by FAF in at least three timepoints: baseline, month 6 and month 12.</w:t>
      </w:r>
    </w:p>
    <w:p>
      <w:pPr>
        <w:spacing w:after="0" w:line="126"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In September 2022, we announced positive 12 -month top-line data for GATHER2. In GATHER2, 448 patients were randomized on a 1:1 basis to receive avacincaptad pegol 2 mg or sham control over the first 12 months of the trial. At 12 months, we measured the primary efficacy endpoint in accordance with the SPA. In GATHER2, we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We did not observe any events of endophthalmitis, intraocular inflammation events, events of vasculitis or ischemic optic neuropathy events through month 12, and the incidence of CNV in the study eye through month 12 was 15 patients (6.7%) in the avacincaptad pegol 2 mg group and 9 patients (4.1%) in the sham control group.</w:t>
      </w:r>
    </w:p>
    <w:p>
      <w:pPr>
        <w:spacing w:after="0" w:line="328"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that with the statistically significant results from our GATHER1 and GATHER2 trials and the safety profile of avacincaptad pegol to date, we have sufficient data from two independent, adequate and well-controlled pivotal clinical trials of avacincaptad pegol in GA secondary to AMD to support an application for marketing approval. On November 17, 2022, we announced that we received from the FDA breakthrough therapy designation for avacincaptad pegol for the treatment of GA secondary to AMD. We recently submitted to the FDA the first and second parts of our NDA, which include the full clinical data package from the GATHER1 and GATHER2 clinical trials and the non-clinical data package for avacincaptad pegol, respectively, for rolling review of avacincaptad pegol for the treatment of GA secondary to AMD. The remaining, final part of the NDA will include chemistry, manufacturing and controls data. We are on track to complete the submission of the NDA to the FDA by the end of 2022.</w:t>
      </w:r>
    </w:p>
    <w:p>
      <w:pPr>
        <w:spacing w:after="0" w:line="113" w:lineRule="exact"/>
        <w:rPr>
          <w:sz w:val="20"/>
          <w:szCs w:val="20"/>
          <w:color w:val="auto"/>
        </w:rPr>
      </w:pPr>
    </w:p>
    <w:p>
      <w:pPr>
        <w:jc w:val="both"/>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to avacincaptad pegol, we are developing our preclinical product candidate IC-500, a High temperature requirement A serine peptidase 1 protein, or HtrA1, inhibitor, for GA secondary to AMD and potentially other age-related retinal diseases.</w:t>
      </w:r>
    </w:p>
    <w:p>
      <w:pPr>
        <w:spacing w:after="0" w:line="108"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72" w:lineRule="exact"/>
        <w:rPr>
          <w:sz w:val="20"/>
          <w:szCs w:val="20"/>
          <w:color w:val="auto"/>
        </w:rPr>
      </w:pPr>
    </w:p>
    <w:p>
      <w:pPr>
        <w:ind w:left="1820" w:right="51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rhodopsin-mediated autosomal dominant retinitis pigmentosa, or RHO-adRP, which is characterized by progressive and severe bilateral loss of vision leading to blindness;</w:t>
      </w:r>
    </w:p>
    <w:p>
      <w:pPr>
        <w:spacing w:after="0" w:line="53"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IRDs associated with mutations in the BEST1 gene, including Best vitelliform macular dystrophy, or Best disease;</w:t>
      </w:r>
    </w:p>
    <w:p>
      <w:pPr>
        <w:spacing w:after="0" w:line="53"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Leber Congenital Amaurosis type 10 which is characterized by severe bilateral loss of vision at or soon after birth;</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STGD1; and</w:t>
      </w:r>
    </w:p>
    <w:p>
      <w:pPr>
        <w:spacing w:after="0" w:line="117"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IRDs associated with mutations in the USH2A gene, which include Usher syndrome type 2A and USH2A-associated non-syndromic autosomal recessive retinitis pigmentosa.</w:t>
      </w:r>
    </w:p>
    <w:p>
      <w:pPr>
        <w:spacing w:after="0" w:line="94" w:lineRule="exact"/>
        <w:rPr>
          <w:sz w:val="20"/>
          <w:szCs w:val="20"/>
          <w:color w:val="auto"/>
        </w:rPr>
      </w:pPr>
    </w:p>
    <w:p>
      <w:pPr>
        <w:ind w:left="1280" w:right="619" w:firstLine="360"/>
        <w:spacing w:after="0" w:line="258" w:lineRule="auto"/>
        <w:rPr>
          <w:sz w:val="20"/>
          <w:szCs w:val="20"/>
          <w:color w:val="auto"/>
        </w:rPr>
      </w:pPr>
      <w:r>
        <w:rPr>
          <w:rFonts w:ascii="Times New Roman" w:cs="Times New Roman" w:eastAsia="Times New Roman" w:hAnsi="Times New Roman"/>
          <w:sz w:val="18"/>
          <w:szCs w:val="18"/>
          <w:color w:val="auto"/>
        </w:rPr>
        <w:t>As we focus our efforts on and prioritize the development and potential commercialization of avacincaptad pegol, we have been considering our development options for IC-100 and IC-200, which we have been developing for RHO-adRP and BEST1-related IRDs, respectively. We are currently seeking a collaborator or licensee for the future development and potential commercialization of these product candidates.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Company Information</w:t>
      </w:r>
    </w:p>
    <w:p>
      <w:pPr>
        <w:spacing w:after="0" w:line="148"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8 Sylvan Way, Parsippany, NJ 07054, and our telephone number is (609) 474-6755. Our website address is www.ivericbio.com. The information contained on, or that can be accessed through, our website is not a part of this prospectus supplement. We have included our website address in this prospectus supplement solely as an inactive textual reference.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117" w:lineRule="exact"/>
        <w:rPr>
          <w:sz w:val="20"/>
          <w:szCs w:val="20"/>
          <w:color w:val="auto"/>
        </w:rPr>
      </w:pPr>
    </w:p>
    <w:p>
      <w:pPr>
        <w:ind w:left="1460" w:right="280" w:hanging="179"/>
        <w:spacing w:after="0" w:line="282"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Option to purchase additional shares</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13,350,000 shares of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134,073,343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w:t>
      </w:r>
    </w:p>
    <w:p>
      <w:pPr>
        <w:spacing w:after="0" w:line="27" w:lineRule="exact"/>
        <w:rPr>
          <w:sz w:val="20"/>
          <w:szCs w:val="20"/>
          <w:color w:val="auto"/>
        </w:rPr>
      </w:pPr>
    </w:p>
    <w:p>
      <w:pPr>
        <w:ind w:right="579"/>
        <w:spacing w:after="0" w:line="260" w:lineRule="auto"/>
        <w:rPr>
          <w:sz w:val="20"/>
          <w:szCs w:val="20"/>
          <w:color w:val="auto"/>
        </w:rPr>
      </w:pPr>
      <w:r>
        <w:rPr>
          <w:rFonts w:ascii="Times New Roman" w:cs="Times New Roman" w:eastAsia="Times New Roman" w:hAnsi="Times New Roman"/>
          <w:sz w:val="18"/>
          <w:szCs w:val="18"/>
          <w:color w:val="auto"/>
        </w:rPr>
        <w:t>30 days to purchase up to an additional 2,002,500 shares of our common stock.</w:t>
      </w:r>
    </w:p>
    <w:p>
      <w:pPr>
        <w:spacing w:after="0" w:line="73" w:lineRule="exact"/>
        <w:rPr>
          <w:sz w:val="20"/>
          <w:szCs w:val="20"/>
          <w:color w:val="auto"/>
        </w:rPr>
      </w:pPr>
    </w:p>
    <w:p>
      <w:pPr>
        <w:ind w:right="399"/>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underwriting discounts and commissions and estimated offering expenses payable by us, will be approximately</w:t>
      </w:r>
    </w:p>
    <w:p>
      <w:pPr>
        <w:spacing w:after="0" w:line="1" w:lineRule="exact"/>
        <w:rPr>
          <w:sz w:val="20"/>
          <w:szCs w:val="20"/>
          <w:color w:val="auto"/>
        </w:rPr>
      </w:pPr>
    </w:p>
    <w:p>
      <w:pPr>
        <w:ind w:right="599"/>
        <w:spacing w:after="0" w:line="255" w:lineRule="auto"/>
        <w:rPr>
          <w:sz w:val="20"/>
          <w:szCs w:val="20"/>
          <w:color w:val="auto"/>
        </w:rPr>
      </w:pPr>
      <w:r>
        <w:rPr>
          <w:rFonts w:ascii="Times New Roman" w:cs="Times New Roman" w:eastAsia="Times New Roman" w:hAnsi="Times New Roman"/>
          <w:sz w:val="18"/>
          <w:szCs w:val="18"/>
          <w:color w:val="auto"/>
        </w:rPr>
        <w:t>$281.9 million (or approximately $324.3 million if the underwriters exercise in full their option to purchase additional shares).</w:t>
      </w:r>
    </w:p>
    <w:p>
      <w:pPr>
        <w:spacing w:after="0" w:line="118" w:lineRule="exact"/>
        <w:rPr>
          <w:sz w:val="20"/>
          <w:szCs w:val="20"/>
          <w:color w:val="auto"/>
        </w:rPr>
      </w:pPr>
    </w:p>
    <w:p>
      <w:pPr>
        <w:ind w:right="559"/>
        <w:spacing w:after="0" w:line="254" w:lineRule="auto"/>
        <w:rPr>
          <w:sz w:val="20"/>
          <w:szCs w:val="20"/>
          <w:color w:val="auto"/>
        </w:rPr>
      </w:pPr>
      <w:r>
        <w:rPr>
          <w:rFonts w:ascii="Times New Roman" w:cs="Times New Roman" w:eastAsia="Times New Roman" w:hAnsi="Times New Roman"/>
          <w:sz w:val="18"/>
          <w:szCs w:val="18"/>
          <w:color w:val="auto"/>
        </w:rPr>
        <w:t>We plan to use the net proceeds from this offering to fund preparation for and, subject to regulatory approval, potential commercial launch of avacincaptad pegol in GA in the United States, including the hiring and associated expenses of a sales force, and for working capital and other general corporate purposes. See the “Use of Proceeds” section of this prospectus supplement for a more complete description of the intended use of proceeds from this offering.</w:t>
      </w:r>
    </w:p>
    <w:p>
      <w:pPr>
        <w:spacing w:after="0" w:line="84"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 xml:space="preserve">You should read the “Risk Factors” section of this prospectus supplement beginning on page </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 xml:space="preserve"> and in our periodic and other reports filed with the SEC and incorporated by reference in this prospectus supplement and the accompanying prospectus for a discussion of factors to consider carefully before deciding to purchase shares of our common stock.</w:t>
      </w:r>
    </w:p>
    <w:p>
      <w:pPr>
        <w:spacing w:after="0" w:line="295" w:lineRule="exact"/>
        <w:rPr>
          <w:sz w:val="20"/>
          <w:szCs w:val="20"/>
          <w:color w:val="auto"/>
        </w:rPr>
      </w:pPr>
    </w:p>
    <w:p>
      <w:pPr>
        <w:ind w:right="4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“ISEE”.</w:t>
      </w:r>
    </w:p>
    <w:p>
      <w:pPr>
        <w:spacing w:after="0" w:line="94" w:lineRule="exact"/>
        <w:rPr>
          <w:sz w:val="20"/>
          <w:szCs w:val="20"/>
          <w:color w:val="auto"/>
        </w:rPr>
      </w:pPr>
    </w:p>
    <w:p>
      <w:pPr>
        <w:sectPr>
          <w:pgSz w:w="11900" w:h="16838" w:orient="portrait"/>
          <w:cols w:equalWidth="0" w:num="2">
            <w:col w:w="4040" w:space="480"/>
            <w:col w:w="5359"/>
          </w:cols>
          <w:pgMar w:left="580" w:top="97" w:right="1440" w:bottom="1440" w:gutter="0" w:footer="0" w:header="0"/>
          <w:type w:val="continuous"/>
        </w:sect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120,723,343 shares of our common stock issued and outstanding as of October 31, 2022. The number of shares of our common stock that will be outstanding immediately after this offering excludes:</w:t>
      </w:r>
    </w:p>
    <w:p>
      <w:pPr>
        <w:spacing w:after="0" w:line="72" w:lineRule="exact"/>
        <w:rPr>
          <w:sz w:val="20"/>
          <w:szCs w:val="20"/>
          <w:color w:val="auto"/>
        </w:rPr>
      </w:pPr>
    </w:p>
    <w:p>
      <w:pPr>
        <w:ind w:left="1820" w:right="4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10,240,360 shares of our common stock issuable upon the exercise of stock options outstanding as of October 31, 2022, at a weighted average exercise price of $12.73 per share;</w:t>
      </w:r>
    </w:p>
    <w:p>
      <w:pPr>
        <w:spacing w:after="0" w:line="53"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2,369,165 shares of our common stock issuable upon the vesting of restricted stock units outstanding as of October 31, 2022;</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3,178,153 additional shares of our common stock available for future issuance under our 2013 stock incentive plan as of October 31, 2022;</w:t>
      </w:r>
    </w:p>
    <w:p>
      <w:pPr>
        <w:spacing w:after="0" w:line="53" w:lineRule="exact"/>
        <w:rPr>
          <w:rFonts w:ascii="Times New Roman" w:cs="Times New Roman" w:eastAsia="Times New Roman" w:hAnsi="Times New Roman"/>
          <w:sz w:val="18"/>
          <w:szCs w:val="18"/>
          <w:color w:val="auto"/>
        </w:rPr>
      </w:pPr>
    </w:p>
    <w:p>
      <w:pPr>
        <w:ind w:left="1820" w:right="9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1,161,542 additional shares of our common stock available for future issuance under our 2019 inducement stock incentive plan as of October 31, 2022; and</w:t>
      </w:r>
    </w:p>
    <w:p>
      <w:pPr>
        <w:spacing w:after="0" w:line="53"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712,394 additional shares of our common stock available for future issuance under our 2016 employee stock purchase plan as of October 31, 2022.</w:t>
      </w:r>
    </w:p>
    <w:p>
      <w:pPr>
        <w:spacing w:after="0" w:line="81" w:lineRule="exact"/>
        <w:rPr>
          <w:sz w:val="20"/>
          <w:szCs w:val="20"/>
          <w:color w:val="auto"/>
        </w:rPr>
      </w:pPr>
    </w:p>
    <w:p>
      <w:pPr>
        <w:ind w:left="1280" w:right="107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information in this prospectus supplement:</w:t>
      </w:r>
    </w:p>
    <w:p>
      <w:pPr>
        <w:spacing w:after="0" w:line="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assumes no exercise of the outstanding options described above;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151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by the underwriters of their option to purchase up to an additional 2,002,500 shares of common stock from us;</w:t>
      </w:r>
    </w:p>
    <w:p>
      <w:pPr>
        <w:spacing w:after="0" w:line="53" w:lineRule="exact"/>
        <w:rPr>
          <w:rFonts w:ascii="Times New Roman" w:cs="Times New Roman" w:eastAsia="Times New Roman" w:hAnsi="Times New Roman"/>
          <w:sz w:val="18"/>
          <w:szCs w:val="18"/>
          <w:color w:val="auto"/>
        </w:rPr>
      </w:pPr>
    </w:p>
    <w:p>
      <w:pPr>
        <w:ind w:left="1820" w:right="879" w:hanging="182"/>
        <w:spacing w:after="0" w:line="25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potential future milestone payments payable in the form of shares of our common stock pursuant to (a) the agreement and plan of merger under which we acquired Inception 4, Inc., or the Inception 4 acquisition, in October 2018 or (b) the exclusive license agreement we entered into in July 2019 with the University of Massachusetts for rights to our miniCEP290 gene therapy program; and</w:t>
      </w:r>
    </w:p>
    <w:p>
      <w:pPr>
        <w:spacing w:after="0" w:line="75" w:lineRule="exact"/>
        <w:rPr>
          <w:rFonts w:ascii="Times New Roman" w:cs="Times New Roman" w:eastAsia="Times New Roman" w:hAnsi="Times New Roman"/>
          <w:sz w:val="18"/>
          <w:szCs w:val="18"/>
          <w:color w:val="auto"/>
        </w:rPr>
      </w:pPr>
    </w:p>
    <w:p>
      <w:pPr>
        <w:ind w:left="1820" w:right="419" w:hanging="182"/>
        <w:spacing w:after="0" w:line="261"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$100.0 million of shares of our common stock that remain available for sale under our “at-the-market” sales agreement, or the ATM Sales Agreement, with Cowen and Company, LLC, or Cowen, pursuant to which we may sell from time to time our common stock through an “at-the-market” equity offering program.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99" w:firstLine="360"/>
        <w:spacing w:after="0" w:line="24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Investing in our common stock involves a high degree of risk. Before deciding to invest in our common stock, you should carefully consider the risks and uncertainties described below together with all of the other information contained in this prospectus supplement, the accompanying prospectus and in the documents incorporated by reference herein and therein, including the risks described under the heading “Risk Factors” in our </w:t>
      </w:r>
      <w:hyperlink r:id="rId42">
        <w:r>
          <w:rPr>
            <w:rFonts w:ascii="Times New Roman" w:cs="Times New Roman" w:eastAsia="Times New Roman" w:hAnsi="Times New Roman"/>
            <w:sz w:val="18"/>
            <w:szCs w:val="18"/>
            <w:i w:val="1"/>
            <w:iCs w:val="1"/>
            <w:u w:val="single" w:color="auto"/>
            <w:color w:val="0000EE"/>
          </w:rPr>
          <w:t>Quarterly Report on Form 10-Q for the fiscal quarter ended September 30, 2022</w:t>
        </w:r>
      </w:hyperlink>
      <w:r>
        <w:rPr>
          <w:rFonts w:ascii="Times New Roman" w:cs="Times New Roman" w:eastAsia="Times New Roman" w:hAnsi="Times New Roman"/>
          <w:sz w:val="18"/>
          <w:szCs w:val="18"/>
          <w:i w:val="1"/>
          <w:iCs w:val="1"/>
          <w:color w:val="auto"/>
        </w:rPr>
        <w:t>, which may be amended, supplemented or superseded from time to time by other reports filed with the SEC. If any of these risks actually occur, our business, prospects, operating results and financial condition could suffer materially. In such event, the trading price of our common stock could decline and you might lose all or part of your investment.</w:t>
      </w:r>
    </w:p>
    <w:p>
      <w:pPr>
        <w:spacing w:after="0" w:line="38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available cash and other sources of funding, including the net proceeds we receive from this offering, and may not use them effectively.</w:t>
      </w:r>
    </w:p>
    <w:p>
      <w:pPr>
        <w:spacing w:after="0" w:line="9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management has broad discretion in the use of our available cash and other sources of funding, including the net proceeds we receive in this offering, including for any of the purposes described in the section of this prospectus supplement titled “Use of Proceeds,” and could spend those resources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available cash, including the net proceeds from this offering, in a manner that does not produce income or that loses value.</w:t>
      </w:r>
    </w:p>
    <w:p>
      <w:pPr>
        <w:spacing w:after="0" w:line="17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9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If the holders of a significant number of shares of our common stock sell, or the market perceives that these holders will sell, the shares currently held by them, the price of our common stock may decline.</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Moreover, we have filed, and expect to continue to file, registration statements on Form S-8 registering all shares of common stock that we may issue under our equity compensation plans. Once registered on Form S -8, shares underlying these equity awards can be freely sold in the public market upon issuance, subject to volume, notice and manner of sale limitations applicable to affiliates.</w:t>
      </w:r>
    </w:p>
    <w:p>
      <w:pPr>
        <w:spacing w:after="0" w:line="11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currently have on file with the SEC an effective universal shelf registration statement which allows us to offer and sell up to $ 300,000,000 of our securities from time to time pursuant to one or more offerings at prices to be determined at the time of sale, including up to $100,000,000 of common stock we may offer and sell from time to time under the ATM Sales Agreement with Cowen, and an automatically effective universal shelf registration statement which allows us to offer and sell an indeterminate amount of our securities from time to time pursuant to one or more offerings at prices to be determined at the time of sale, including the securities being offered in this offering.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If you purchase shares of common stock in this offering, you will suffer immediate dilution of your investment.</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price of our common stock in this offering is substantially higher than the net tangible book value per share of our outstanding common stock. Therefore, if you purchase shares of our common stock in this offering, you will pay a price per share that substantially exceeds our net tangible book value per share after this offering. To the extent our outstanding options are exercised, and to the extent we issue additional shares of our common stock or securities convertible or exchangeable into shares of our common stock, you will incur further dilution. Based on a public offering price of $22.50 per share of common stock, you will experience immediate dilution of $18.46 per share of common stock, representing the difference between our as adjusted net tangible book value per share, after giving effect to this offering, and the public offering price.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13,350,000 shares of our common stock in this offering will be approximately $281.9 million, after deducting underwriting discounts and commissions and estimated offering expenses payable by us. If the underwriters exercise in full their option to purchase additional shares, we estimate that the net proceeds from this offering will be approximately $324.3 million.</w:t>
      </w:r>
    </w:p>
    <w:p>
      <w:pPr>
        <w:spacing w:after="0" w:line="322" w:lineRule="exact"/>
        <w:rPr>
          <w:sz w:val="20"/>
          <w:szCs w:val="20"/>
          <w:color w:val="auto"/>
        </w:rPr>
      </w:pPr>
    </w:p>
    <w:p>
      <w:pPr>
        <w:ind w:left="1260" w:right="759" w:firstLine="360"/>
        <w:spacing w:after="0" w:line="251" w:lineRule="auto"/>
        <w:rPr>
          <w:sz w:val="20"/>
          <w:szCs w:val="20"/>
          <w:color w:val="auto"/>
        </w:rPr>
      </w:pPr>
      <w:r>
        <w:rPr>
          <w:rFonts w:ascii="Times New Roman" w:cs="Times New Roman" w:eastAsia="Times New Roman" w:hAnsi="Times New Roman"/>
          <w:sz w:val="18"/>
          <w:szCs w:val="18"/>
          <w:color w:val="auto"/>
        </w:rPr>
        <w:t>We plan to use the net proceeds from this offering to fund preparation for and, subject to regulatory approval, potential commercial launch of avacincaptad pegol in GA in the United States, including the hiring and associated expenses of a sales force, and for working capital and other general corporate purposes.</w:t>
      </w:r>
    </w:p>
    <w:p>
      <w:pPr>
        <w:spacing w:after="0" w:line="323"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current plans and business conditions. We have not determined the exact amounts we plan to spend on any of the items listed above or the timing of these expenditures. The amounts and timing of our actual expenditures may vary significantly depending on numerous factors, including the actual net proceeds from this offering, the timing and outcome of regulatory filings and reviews of our product candidates, the extent and success of our potential commercialization efforts for avacincaptad pegol, as well as any collaborations that we may enter into with third parties for potential commercialization of avacincaptad pegol, the progress of our research and development and manufacturing activities, and any unforeseen cash needs. As a result, our management will retain broad discretion over the allocation of the net proceeds from this offering.</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2022, we had cash, cash equivalents and available-for-sale securities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$320.5 million, inclusive of the $50.0 million we borrowed in July 2022 under the Loan and Security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with Hercules Capital, Inc., or Hercules, and Silicon Valley Bank, or SVB, providing for term</w:t>
      </w:r>
    </w:p>
    <w:p>
      <w:pPr>
        <w:ind w:left="1260"/>
        <w:spacing w:after="0" w:line="234" w:lineRule="auto"/>
        <w:rPr>
          <w:sz w:val="20"/>
          <w:szCs w:val="20"/>
          <w:color w:val="auto"/>
        </w:rPr>
      </w:pPr>
      <w:r>
        <w:rPr>
          <w:rFonts w:ascii="Times New Roman" w:cs="Times New Roman" w:eastAsia="Times New Roman" w:hAnsi="Times New Roman"/>
          <w:sz w:val="18"/>
          <w:szCs w:val="18"/>
          <w:color w:val="auto"/>
        </w:rPr>
        <w:t>loans in an aggregate principal amount of up to $250.0 million under multiple tranches, or the 2022 Term</w:t>
      </w:r>
    </w:p>
    <w:p>
      <w:pPr>
        <w:ind w:left="1260"/>
        <w:spacing w:after="0" w:line="235" w:lineRule="auto"/>
        <w:rPr>
          <w:sz w:val="20"/>
          <w:szCs w:val="20"/>
          <w:color w:val="auto"/>
        </w:rPr>
      </w:pPr>
      <w:r>
        <w:rPr>
          <w:rFonts w:ascii="Times New Roman" w:cs="Times New Roman" w:eastAsia="Times New Roman" w:hAnsi="Times New Roman"/>
          <w:sz w:val="18"/>
          <w:szCs w:val="18"/>
          <w:color w:val="auto"/>
        </w:rPr>
        <w:t>Loan Facility. We believe we have achieved the first performance milestone under the 2022 Term Loan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Facility and plan to borrow the full $50.0 million tranche available as a result during the fourth quarter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2022. If we achieve the second performance milestone under the 2022 Term Loan Facility, which is based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on our submission of an NDA to the FDA for avacincaptad pegol in GA and FDA acceptance of such NDA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review, we plan to borrow the full $25.0 million tranche that will become available as a result during</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2023.</w:t>
      </w:r>
    </w:p>
    <w:p>
      <w:pPr>
        <w:spacing w:after="0" w:line="12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Based upon our current operating plan, we estimate that the net proceeds from this offering, together with the $75.0 million we plan to borrow under the 2022 Term Loan Facility in relation to the first and second milestones, and our existing cash, cash equivalents and available-for sale-securities, will be sufficient to fund our planned capital expenditure requirements, debt service obligations and operating expenses, including those necessary for the potential commercial launch of avacincaptad pegol in GA in the United States, subject to regulatory approval, through at least mid-2024. These estimates are based on our current business plan, including the continuation of our ongoing clinical development programs for avacincaptad pegol in GA secondary to AMD and STGD1, including the recently initiated open-label extension study, submission of an NDA and a marketing authorization application for avacincaptad pegol in GA, continuing preparations for potential commercialization and launch of avacincaptad pegol for GA in the United States, including the hiring and associated expenses of a commercial engagement team, including sales force members, of approximately 125 individuals, payment of a $23.0 million milestone to Archemix Corp. upon regulatory approval of avacincaptad pegol in the United States for GA, pursuing DelSiTech Ltd.’s silica-based sustained release delivery technology and exploring additional sustained release delivery technologies for avacincaptad pegol, and the advancement of our IC-500 development program up to a potential investigational new drug application. These estimates do not include any additional borrowings under the 2022 Term Loan Facility beyond the $75.0 million in relation to the first and second milestones. Also excluded from these estimates are any other potential approval or sales milestones payable to Archemix Corp., any additional expenditures related to potentially studying avacincaptad pegol outside of GA or STGD1 or in patients with intermediate AMD, or resulting from the potential in-licensing or acquisition of additional product candidates or technologies, or any associated development we may pursue. We have based this estimate on assumptions that may prove to be wrong, and we could use our available capital resources sooner than we currently expect. See the “Risk Factors” section of this prospectus supplement and the documents incorporated by reference for a discussion of the risks affecting our business that could have an adverse effect on our available capital resources.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may also use a portion of the net proceeds from this offering for the acquisition or in-license of additional products, product candidates, businesses or technologies, and the research, development and potential commercialization of the same, although we do not currently have any agreements or commitments for any future material acquisition or additional license of any such additional products, product candidates, businesses or technologies. Pending application of the net proceeds as described above, we may temporarily invest the net proceeds in a variety of capital preservation instruments, including short-term, investment-grade, interest-bearing instruments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cash equivalents and available for sale securities and our capitalization as of September 30, 2022, as follows:</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44"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our issuance and sale of 13,350,000 shares of our common stock in this offering at a public offering price of $22.50 per share of common stock, after deducting underwriting discounts and commissions and estimated offering expenses payable by us.</w:t>
      </w:r>
    </w:p>
    <w:p>
      <w:pPr>
        <w:spacing w:after="0" w:line="95" w:lineRule="exact"/>
        <w:rPr>
          <w:sz w:val="20"/>
          <w:szCs w:val="20"/>
          <w:color w:val="auto"/>
        </w:rPr>
      </w:pPr>
    </w:p>
    <w:p>
      <w:pPr>
        <w:ind w:left="1260" w:right="659" w:firstLine="36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read the following table together with our consolidated financial statements and related notes to those statements and the “Management’s Discussion and Analysis of Financial Condition and Results of Operations” in our </w:t>
      </w:r>
      <w:hyperlink r:id="rId46">
        <w:r>
          <w:rPr>
            <w:rFonts w:ascii="Times New Roman" w:cs="Times New Roman" w:eastAsia="Times New Roman" w:hAnsi="Times New Roman"/>
            <w:sz w:val="18"/>
            <w:szCs w:val="18"/>
            <w:u w:val="single" w:color="auto"/>
            <w:color w:val="0000EE"/>
          </w:rPr>
          <w:t>Annual Report on Form 10-K for the fiscal year ended December 31, 2021</w:t>
        </w:r>
      </w:hyperlink>
      <w:r>
        <w:rPr>
          <w:rFonts w:ascii="Times New Roman" w:cs="Times New Roman" w:eastAsia="Times New Roman" w:hAnsi="Times New Roman"/>
          <w:sz w:val="18"/>
          <w:szCs w:val="18"/>
          <w:color w:val="auto"/>
        </w:rPr>
        <w:t xml:space="preserve"> and our Quarterly Reports on Form 10-Q for the fiscal quarters ended </w:t>
      </w:r>
      <w:hyperlink r:id="rId47">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9">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are incorporated by reference into this prospectus supplement.</w:t>
      </w:r>
    </w:p>
    <w:p>
      <w:pPr>
        <w:spacing w:after="0" w:line="137"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227"/>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7"/>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7"/>
              </w:rPr>
              <w:t>As of September 30, 2022</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40"/>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6"/>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9"/>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8"/>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Cash, cash equivalents and available for sale securities</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320,535</w:t>
            </w:r>
          </w:p>
        </w:tc>
        <w:tc>
          <w:tcPr>
            <w:tcW w:w="2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602,473</w:t>
            </w:r>
          </w:p>
        </w:tc>
        <w:tc>
          <w:tcPr>
            <w:tcW w:w="20" w:type="dxa"/>
            <w:vAlign w:val="bottom"/>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1940" w:type="dxa"/>
            <w:vAlign w:val="bottom"/>
            <w:shd w:val="clear" w:color="auto" w:fill="CCEEFF"/>
          </w:tcPr>
          <w:p>
            <w:pPr>
              <w:spacing w:after="0"/>
              <w:rPr>
                <w:sz w:val="7"/>
                <w:szCs w:val="7"/>
                <w:color w:val="auto"/>
              </w:rPr>
            </w:pPr>
          </w:p>
        </w:tc>
        <w:tc>
          <w:tcPr>
            <w:tcW w:w="4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5,000,000 shares authorized, no</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1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or outstanding, actual and as adjusted</w:t>
            </w:r>
          </w:p>
        </w:tc>
        <w:tc>
          <w:tcPr>
            <w:tcW w:w="40" w:type="dxa"/>
            <w:vAlign w:val="bottom"/>
          </w:tcPr>
          <w:p>
            <w:pPr>
              <w:spacing w:after="0"/>
              <w:rPr>
                <w:sz w:val="21"/>
                <w:szCs w:val="21"/>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spacing w:after="0"/>
              <w:rPr>
                <w:sz w:val="21"/>
                <w:szCs w:val="21"/>
                <w:color w:val="auto"/>
              </w:rPr>
            </w:pPr>
          </w:p>
        </w:tc>
        <w:tc>
          <w:tcPr>
            <w:tcW w:w="660" w:type="dxa"/>
            <w:vAlign w:val="bottom"/>
            <w:gridSpan w:val="5"/>
          </w:tcPr>
          <w:p>
            <w:pPr>
              <w:jc w:val="right"/>
              <w:ind w:right="16"/>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actual and as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120,572,641 shares issued and outstanding, actual; 133,922,641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40" w:type="dxa"/>
            <w:vAlign w:val="bottom"/>
            <w:shd w:val="clear" w:color="auto" w:fill="CCEEFF"/>
          </w:tcPr>
          <w:p>
            <w:pPr>
              <w:spacing w:after="0"/>
              <w:rPr>
                <w:sz w:val="21"/>
                <w:szCs w:val="21"/>
                <w:color w:val="auto"/>
              </w:rPr>
            </w:pP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1120" w:type="dxa"/>
            <w:vAlign w:val="bottom"/>
            <w:gridSpan w:val="6"/>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121​​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Pr>
          <w:p>
            <w:pPr>
              <w:spacing w:after="0"/>
              <w:rPr>
                <w:sz w:val="22"/>
                <w:szCs w:val="22"/>
                <w:color w:val="auto"/>
              </w:rPr>
            </w:pPr>
          </w:p>
        </w:tc>
        <w:tc>
          <w:tcPr>
            <w:tcW w:w="212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 ​​ ​1,065,545​​ ​​ ​1,347,470​</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121"/>
              <w:spacing w:after="0" w:line="202" w:lineRule="exact"/>
              <w:rPr>
                <w:sz w:val="20"/>
                <w:szCs w:val="20"/>
                <w:color w:val="auto"/>
              </w:rPr>
            </w:pPr>
            <w:r>
              <w:rPr>
                <w:rFonts w:ascii="Times New Roman" w:cs="Times New Roman" w:eastAsia="Times New Roman" w:hAnsi="Times New Roman"/>
                <w:sz w:val="18"/>
                <w:szCs w:val="18"/>
                <w:color w:val="auto"/>
              </w:rPr>
              <w:t>​ (805,745)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(805,745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0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4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1"/>
              <w:spacing w:after="0" w:line="202" w:lineRule="exact"/>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 w:type="dxa"/>
            <w:vAlign w:val="bottom"/>
            <w:shd w:val="clear" w:color="auto" w:fill="CCEEFF"/>
          </w:tcPr>
          <w:p>
            <w:pPr>
              <w:spacing w:after="0"/>
              <w:rPr>
                <w:sz w:val="22"/>
                <w:szCs w:val="22"/>
                <w:color w:val="auto"/>
              </w:rPr>
            </w:pPr>
          </w:p>
        </w:tc>
        <w:tc>
          <w:tcPr>
            <w:tcW w:w="360" w:type="dxa"/>
            <w:vAlign w:val="bottom"/>
            <w:gridSpan w:val="4"/>
            <w:shd w:val="clear" w:color="auto" w:fill="CCEEFF"/>
          </w:tcPr>
          <w:p>
            <w:pPr>
              <w:ind w:left="2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120" w:type="dxa"/>
            <w:vAlign w:val="bottom"/>
            <w:gridSpan w:val="6"/>
            <w:shd w:val="clear" w:color="auto" w:fill="CCEEFF"/>
          </w:tcPr>
          <w:p>
            <w:pPr>
              <w:jc w:val="right"/>
              <w:ind w:right="16"/>
              <w:spacing w:after="0" w:line="264" w:lineRule="exact"/>
              <w:rPr>
                <w:sz w:val="20"/>
                <w:szCs w:val="20"/>
                <w:color w:val="auto"/>
              </w:rPr>
            </w:pPr>
            <w:r>
              <w:rPr>
                <w:rFonts w:ascii="Times New Roman" w:cs="Times New Roman" w:eastAsia="Times New Roman" w:hAnsi="Times New Roman"/>
                <w:sz w:val="16"/>
                <w:szCs w:val="16"/>
                <w:color w:val="auto"/>
              </w:rPr>
              <w:t>259,526</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541,464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40" w:type="dxa"/>
            <w:vAlign w:val="bottom"/>
          </w:tcPr>
          <w:p>
            <w:pPr>
              <w:spacing w:after="0"/>
              <w:rPr>
                <w:sz w:val="22"/>
                <w:szCs w:val="22"/>
                <w:color w:val="auto"/>
              </w:rPr>
            </w:pPr>
          </w:p>
        </w:tc>
        <w:tc>
          <w:tcPr>
            <w:tcW w:w="360" w:type="dxa"/>
            <w:vAlign w:val="bottom"/>
            <w:gridSpan w:val="4"/>
          </w:tcPr>
          <w:p>
            <w:pPr>
              <w:ind w:left="2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760" w:type="dxa"/>
            <w:vAlign w:val="bottom"/>
            <w:gridSpan w:val="9"/>
          </w:tcPr>
          <w:p>
            <w:pPr>
              <w:jc w:val="right"/>
              <w:spacing w:after="0" w:line="250" w:lineRule="exact"/>
              <w:rPr>
                <w:sz w:val="20"/>
                <w:szCs w:val="20"/>
                <w:color w:val="auto"/>
              </w:rPr>
            </w:pPr>
            <w:r>
              <w:rPr>
                <w:rFonts w:ascii="Times New Roman" w:cs="Times New Roman" w:eastAsia="Times New Roman" w:hAnsi="Times New Roman"/>
                <w:sz w:val="15"/>
                <w:szCs w:val="15"/>
                <w:color w:val="auto"/>
              </w:rPr>
              <w:t>580,061</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1,143,937</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800100</wp:posOffset>
            </wp:positionH>
            <wp:positionV relativeFrom="paragraph">
              <wp:posOffset>-462280</wp:posOffset>
            </wp:positionV>
            <wp:extent cx="46888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-2202815</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4"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$167.4 million available for sale securities. We consider securities with original maturities of greater than 90 days at the date of purchase to be available for sale securities.</w:t>
      </w:r>
    </w:p>
    <w:p>
      <w:pPr>
        <w:spacing w:after="0" w:line="9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10,249,812 shares of our common stock issuable upon the exercise of stock options outstanding as of September 30, 2022, at a weighted average exercise price of $12.60 per share;</w:t>
      </w:r>
    </w:p>
    <w:p>
      <w:pPr>
        <w:spacing w:after="0" w:line="8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2,401,415 shares of our common stock issuable upon the vesting of restricted stock units outstanding as of September 30, 2022;</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3,204,153 additional shares of our common stock available for future issuance under our 2013 stock incentive plan as of September 30, 2022;</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1,244,542 additional shares of our common stock available for future issuance under our 2019 inducement stock incentive plan as of September 30, 2022; and</w:t>
      </w:r>
    </w:p>
    <w:p>
      <w:pPr>
        <w:spacing w:after="0" w:line="80"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712,394 additional shares of our common stock available for future issuance under our 2016 employee stock purchase plan as of September 30, 2022.</w:t>
      </w:r>
    </w:p>
    <w:p>
      <w:pPr>
        <w:spacing w:after="0" w:line="81"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this table:</w:t>
      </w:r>
    </w:p>
    <w:p>
      <w:pPr>
        <w:spacing w:after="0" w:line="131"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 assumes no exercise of the outstanding options described above;</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5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by the underwriters of their option to purchase up to an additional 2,002,500 shares of common stock from us;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potential future milestone payments payable in the form of shares of our common stock pursuant to (a) the Inception 4 acquisition in October 2018 or (b) the exclusive license agreement we entered into in July 2019 with the University of Massachusetts for rights to our miniCEP290 gene therapy program; and</w:t>
      </w:r>
    </w:p>
    <w:p>
      <w:pPr>
        <w:spacing w:after="0" w:line="71"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$100.0 million of shares of our common stock that remain available for sale under the ATM Sales Agreement with Cowen pursuant to which we may sell from time to time our common stock through an “at-the-market” equity offering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immediately after this offering.</w:t>
      </w:r>
    </w:p>
    <w:p>
      <w:pPr>
        <w:spacing w:after="0" w:line="11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September 30, 2022 was $259.5 million, or $2.15 per share of our common stock, based on approximately 120,572,641 shares of our common stock then outstanding. Our net tangible book value is the amount of our total tangible assets less our total liabilities. Net tangible book value per share represents our net tangible book value divided by the 120,572,641 shares of our common stock outstanding as of September 30, 2022.</w:t>
      </w:r>
    </w:p>
    <w:p>
      <w:pPr>
        <w:spacing w:after="0" w:line="122"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After giving effect to our issuance and sale of 13,350,000 shares of our common stock in this offering at a public offering price of $22.50 per share of common stock, and after deducting underwriting discounts and commissions and estimated offering expenses payable by us, our as adjusted net tangible book value as of September 30, 2022 would have been $541.5 million, or $4.04 per share. This represents an immediate increase in as adjusted net tangible book value per share of $1.89 to existing stockholders and immediate dilution of $18.46 in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dilution on a per share basis:</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​​$2.15​​ ​​ ​</w:t>
            </w:r>
          </w:p>
        </w:tc>
        <w:tc>
          <w:tcPr>
            <w:tcW w:w="3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0" w:type="dxa"/>
            <w:vAlign w:val="bottom"/>
            <w:shd w:val="clear" w:color="auto" w:fill="CCEEFF"/>
          </w:tcPr>
          <w:p>
            <w:pPr>
              <w:spacing w:after="0"/>
              <w:rPr>
                <w:sz w:val="19"/>
                <w:szCs w:val="19"/>
                <w:color w:val="auto"/>
              </w:rPr>
            </w:pP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w:t>
            </w:r>
          </w:p>
        </w:tc>
        <w:tc>
          <w:tcPr>
            <w:tcW w:w="10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1.89​​ ​​ ​</w:t>
            </w:r>
          </w:p>
        </w:tc>
        <w:tc>
          <w:tcPr>
            <w:tcW w:w="3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4.04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7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640" w:type="dxa"/>
            <w:vAlign w:val="bottom"/>
            <w:tcBorders>
              <w:top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7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32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94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05"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If the underwriters exercise their option to purchase up to 2,002,500 additional shares of our common stock in full, after deducting underwriting discounts and commissions and estimated offering expenses payable by us, the as adjusted net tangible book value per share of our common stock immediately after this offering would be $4.30 per share, representing an increase to existing stockholders of $2.15 per share, and an immediate dilution of $18.20 to new investors in this offering.</w:t>
      </w:r>
    </w:p>
    <w:p>
      <w:pPr>
        <w:spacing w:after="0" w:line="10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table and calculations above are based on 120,572,641 shares of our common stock issued and outstanding as of September 30, 2022, and exclude the following:</w:t>
      </w:r>
    </w:p>
    <w:p>
      <w:pPr>
        <w:spacing w:after="0" w:line="81" w:lineRule="exact"/>
        <w:rPr>
          <w:sz w:val="20"/>
          <w:szCs w:val="20"/>
          <w:color w:val="auto"/>
        </w:rPr>
      </w:pPr>
    </w:p>
    <w:p>
      <w:pPr>
        <w:ind w:left="1800" w:right="4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10,249,812 shares of our common stock issuable upon the exercise of stock options outstanding as of September 30, 2022, at a weighted average exercise price of $12.60 per share;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2,401,415 shares of our common stock issuable upon the vesting of restricted stock units outstanding as of September 30, 2022;</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3,204,153 additional shares of our common stock available for future issuance under our 2013 stock incentive plan as of September 30, 2022;</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1,244,542 additional shares of our common stock available for future issuance under our 2019 inducement stock incentive plan as of September 30, 2022; and</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712,394 additional shares of our common stock available for future issuance under our 2016 employee stock purchase plan as of September 30, 2022.</w:t>
      </w:r>
    </w:p>
    <w:p>
      <w:pPr>
        <w:spacing w:after="0" w:line="94"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If any additional shares are issued in connection with the exercise of options, or pursuant to the ATM Sales Agreement with Cowen, you will experience further dilution. In addition, to the extent we issue any additional equity securities in connection with future capital raising activities, our then-existing stockholders may experience dilution.</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HOLDERS OF OUR COMMON STOCK</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of the acquisition, ownership and disposition of our common stock acquired in this offering. This discussion is based on the current provisions of the Internal Revenue Code of 1986, as amended, or the Code, existing and proposed U.S. Treasury regulations promulgated thereunder, and administrative rulings and court decisions in effect as of the date of this prospectus supplement, all of which are subject to change or to differing interpretation at any time, possibly with retroactive effect. Any change or differing interpretation could alter the tax consequences to holders described in this prospectus supplement. No ruling has been or will be sought from the Internal Revenue Service, or the IRS, with respect to the matters discussed below, and there can be no assurance the IRS will not take a contrary position regarding the tax consequences of the acquisition, ownership or disposition of our common stock, or that any such contrary position would not be sustained by a court.</w:t>
      </w:r>
    </w:p>
    <w:p>
      <w:pPr>
        <w:spacing w:after="0" w:line="343"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assume in this discussion that the shares of our common stock will be held as capital assets (generally, property held for investment). This discussion does not address all aspects of U.S. federal income taxes, does not discuss the potential application of the Medicare contribution tax on net investment income or the alternative minimum tax and does not address state or local taxes, U.S. federal gift and estate tax laws, except as specifically provided below with respect to non-U.S. holders, or any non-U.S. tax consequences that may be relevant to holders in light of their particular circumstances. This discussion also does not address the special tax rules applicable to particular holders, such as:</w:t>
      </w:r>
    </w:p>
    <w:p>
      <w:pPr>
        <w:spacing w:after="0" w:line="81"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as part of a straddle, hedge, conversion transaction, synthetic security or other integrated investment;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14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entities that are pass-through entities for U.S. federal income tax purposes or persons who hold their shares of our common stock through partnerships or such other pass-through entities.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16" w:lineRule="exact"/>
        <w:rPr>
          <w:sz w:val="20"/>
          <w:szCs w:val="20"/>
          <w:color w:val="auto"/>
        </w:rPr>
      </w:pPr>
    </w:p>
    <w:p>
      <w:pPr>
        <w:ind w:left="1260" w:right="8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AND IS NOT INTENDED TO BE, LEGAL OR TAX ADVICE. PROSPECTIVE INVESTORS SHOULD CONSULT THEIR OWN TAX ADVISORS REGARDING THE U.S. FEDERAL, STATE, LOCAL, AND NON-U.S. INCOME, ESTATE AND OTHER TAX CONSIDERATIONS OF ACQUIRING, HOLDING AND DISPOSING OF OUR COMMON STOCK.</w:t>
      </w:r>
    </w:p>
    <w:p>
      <w:pPr>
        <w:spacing w:after="0" w:line="116"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(other than a partnership or other pass-through entity) of our common stock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3"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33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 “non-U.S. holder” is, for U.S. federal income tax purposes, a beneficial owner of common stock that is not a U.S. holder or a partnership for U.S.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6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we make distributions on our common stock to a U.S. holder, those distributions generally will constitute dividends for U.S. federal income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U.S. holder’s adjusted tax basis in our common stock. Any remaining excess will be treated as gain realized on the sale or exchange of our common stock as described below under the section titled “— Disposition of Our Common Stock”.</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Disposition of Our Common Stock</w:t>
      </w:r>
    </w:p>
    <w:p>
      <w:pPr>
        <w:spacing w:after="0" w:line="14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Upon a sale or other taxable disposition of our common stock, a U.S. holder generally will recognize capital gain or loss in an amount equal to the difference between the amount realized and the U.S. holder’s adjusted tax basis in the common stock. Capital gain or loss will constitute long-term capital gain or loss if the U.S. holder’s holding period for the common stock exceeds one year. The deductibility of capital losses is subject to certain limitations. U.S. holders who recognize losses with respect to a disposition of our common stock should consult their own tax advisors regarding the tax treatment of such losses.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on the common stock and to the proceeds of a sale or other disposition of common stock paid by us to a U.S. holder unless such U.S. holder is an exempt recipient, such as a corporation.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will be allowed as a refund or a credit against the U.S. holder’s U.S. federal income tax liability provided the required information is timely furnished to the IRS.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we make distributions on our common stock to a non-U.S. holder, those distributions generally will be treated in the manner described in “Tax Considerations Applicable to U.S. Holders — Distributions”.</w:t>
      </w:r>
    </w:p>
    <w:p>
      <w:pPr>
        <w:spacing w:after="0" w:line="9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A non-U.S. holder that is eligible for a reduced rate of U.S. withholding tax under an income tax treaty may obtain a refund or credit of any excess amounts withheld by timely filing an appropriate claim with the IRS. Non-U.S. holders are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urged to consult with their own tax advisors regarding their entitlement to benefits under a relevant income tax treaty and the specific methods available to them to satisfy these requirements.</w:t>
      </w:r>
    </w:p>
    <w:p>
      <w:pPr>
        <w:spacing w:after="0" w:line="81"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18"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See also the sections below titled “— Information Reporting and Backup Withholding” and “—​ FATCA” for additional withholding rules applicable to non-U.S. holders.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Disposition of Our Common Stock</w:t>
      </w:r>
    </w:p>
    <w:p>
      <w:pPr>
        <w:spacing w:after="0" w:line="160"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Subject to the discussions below under the headings “Information Reporting and Backup Withholding” and “FATCA,” a non-U.S. holder generally will not be subject to U.S. federal income or withholding tax on any gain realized upon such non-U.S. holder’s sale, exchange or other disposition of our common stock unless:</w:t>
      </w:r>
    </w:p>
    <w:p>
      <w:pPr>
        <w:spacing w:after="0" w:line="282" w:lineRule="exact"/>
        <w:rPr>
          <w:sz w:val="20"/>
          <w:szCs w:val="20"/>
          <w:color w:val="auto"/>
        </w:rPr>
      </w:pPr>
    </w:p>
    <w:p>
      <w:pPr>
        <w:ind w:left="1800" w:right="479" w:hanging="180"/>
        <w:spacing w:after="0" w:line="25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rates and in the manner applicable to U.S. persons (as defined in the Code), and, if the non-U.S. holder is a non-U.S. corporation, the branch profits tax described above under the heading “Distributions” may also apply;</w:t>
      </w:r>
    </w:p>
    <w:p>
      <w:pPr>
        <w:spacing w:after="0" w:line="295"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65" w:lineRule="exact"/>
        <w:rPr>
          <w:rFonts w:ascii="Times New Roman" w:cs="Times New Roman" w:eastAsia="Times New Roman" w:hAnsi="Times New Roman"/>
          <w:sz w:val="18"/>
          <w:szCs w:val="18"/>
          <w:color w:val="auto"/>
        </w:rPr>
      </w:pPr>
    </w:p>
    <w:p>
      <w:pPr>
        <w:ind w:left="1800" w:right="459" w:hanging="180"/>
        <w:spacing w:after="0" w:line="25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holding period of the common stock,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w:t>
      </w:r>
    </w:p>
    <w:p>
      <w:pPr>
        <w:spacing w:after="0" w:line="3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See the sections titled “— Information Reporting and Backup Withholding” and “— FATCA” below for additional information regarding withholding rules that may apply to proceeds of a disposition of our common stock paid to non-U.S. holders.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Federal Estate Tax</w:t>
      </w:r>
    </w:p>
    <w:p>
      <w:pPr>
        <w:spacing w:after="0" w:line="16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Shares of our common stock that are owned or treated as owned by an individual who is a non-U.S. holder (as specially defined for U.S. federal estate tax purposes) at the time of death will be included in the individual’s gross estate for U.S. federal estate tax purposes and, therefore, may be subject to U.S. federal estate tax, unless an applicable estate tax or other treaty provides otherwise.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32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33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94"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4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non-U.S. entity unless (1) if the non-U.S. entity is a “foreign financial institution,” the non-U.S. entity undertakes certain due diligence, reporting, withholding, and certification obligations, (2) if the non-U.S. entity is not a “foreign financial institution,” the non-U.S. entity identifies certain of its U.S. investors, if any, or (3) the non-U.S. entity is otherwise excepted under FATCA.</w:t>
      </w:r>
    </w:p>
    <w:p>
      <w:pPr>
        <w:spacing w:after="0" w:line="12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Withholding under FATCA generally applies to payments of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w:t>
      </w:r>
    </w:p>
    <w:p>
      <w:pPr>
        <w:spacing w:after="0" w:line="11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non-U.S. country may modify the requirements described in</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this section. Non-U.S. holders should consult their own tax advisors regarding the possible implications of FATCA on their investment in our common stock.</w:t>
      </w:r>
    </w:p>
    <w:p>
      <w:pPr>
        <w:spacing w:after="0" w:line="90"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Morgan Stanley &amp; Co. LLC, BofA Securities, Inc. and Cowen and Company, LLC are the representatives of the underwriters.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00" w:type="dxa"/>
            <w:vAlign w:val="bottom"/>
            <w:gridSpan w:val="3"/>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r>
      <w:tr>
        <w:trPr>
          <w:trHeight w:val="20"/>
        </w:trPr>
        <w:tc>
          <w:tcPr>
            <w:tcW w:w="7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5,126,400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3,511,050​</w:t>
            </w:r>
          </w:p>
        </w:tc>
      </w:tr>
      <w:tr>
        <w:trPr>
          <w:trHeight w:val="25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2,843,550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1,602,000​</w:t>
            </w:r>
          </w:p>
        </w:tc>
      </w:tr>
      <w:tr>
        <w:trPr>
          <w:trHeight w:val="27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30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​13,350,000</w:t>
            </w:r>
            <w:r>
              <w:rPr>
                <w:rFonts w:ascii="Times New Roman" w:cs="Times New Roman" w:eastAsia="Times New Roman" w:hAnsi="Times New Roman"/>
                <w:sz w:val="28"/>
                <w:szCs w:val="28"/>
                <w:color w:val="auto"/>
                <w:vertAlign w:val="subscript"/>
              </w:rPr>
              <w:t>​</w:t>
            </w:r>
          </w:p>
        </w:tc>
      </w:tr>
      <w:tr>
        <w:trPr>
          <w:trHeight w:val="20"/>
        </w:trPr>
        <w:tc>
          <w:tcPr>
            <w:tcW w:w="7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-1045210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06" w:lineRule="exact"/>
        <w:rPr>
          <w:sz w:val="20"/>
          <w:szCs w:val="20"/>
          <w:color w:val="auto"/>
        </w:rPr>
      </w:pPr>
    </w:p>
    <w:p>
      <w:pPr>
        <w:ind w:left="1260" w:right="659" w:firstLine="360"/>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“ISEE”.</w:t>
      </w:r>
    </w:p>
    <w:p>
      <w:pPr>
        <w:spacing w:after="0" w:line="15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9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 to Purchase Additional Shares. </w:t>
      </w:r>
      <w:r>
        <w:rPr>
          <w:rFonts w:ascii="Times New Roman" w:cs="Times New Roman" w:eastAsia="Times New Roman" w:hAnsi="Times New Roman"/>
          <w:sz w:val="18"/>
          <w:szCs w:val="18"/>
          <w:color w:val="auto"/>
        </w:rPr>
        <w:t>We have granted to the underwriters an option to purchase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2,002,500 additional shares of common stock at the public 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16"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Discounts and Commissions. </w:t>
      </w:r>
      <w:r>
        <w:rPr>
          <w:rFonts w:ascii="Times New Roman" w:cs="Times New Roman" w:eastAsia="Times New Roman" w:hAnsi="Times New Roman"/>
          <w:sz w:val="18"/>
          <w:szCs w:val="18"/>
          <w:color w:val="auto"/>
        </w:rPr>
        <w:t>The following table shows the public offering price,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 and proceeds, before expenses to us. These amounts are shown assuming both no exercise and full exercise of the underwriters’ option to purchase additional shares.</w:t>
      </w:r>
    </w:p>
    <w:p>
      <w:pPr>
        <w:spacing w:after="0" w:line="108" w:lineRule="exact"/>
        <w:rPr>
          <w:sz w:val="20"/>
          <w:szCs w:val="20"/>
          <w:color w:val="auto"/>
        </w:rPr>
      </w:pPr>
    </w:p>
    <w:p>
      <w:pPr>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the offering, excluding underwriting discount, will be approximately $415,000 and are payable by us.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4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With Full</w:t>
            </w:r>
          </w:p>
        </w:tc>
        <w:tc>
          <w:tcPr>
            <w:tcW w:w="60" w:type="dxa"/>
            <w:vAlign w:val="bottom"/>
          </w:tcPr>
          <w:p>
            <w:pPr>
              <w:spacing w:after="0"/>
              <w:rPr>
                <w:sz w:val="16"/>
                <w:szCs w:val="16"/>
                <w:color w:val="auto"/>
              </w:rPr>
            </w:pPr>
          </w:p>
        </w:tc>
      </w:tr>
      <w:tr>
        <w:trPr>
          <w:trHeight w:val="162"/>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6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7"/>
              </w:rPr>
              <w:t>Option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Option to</w:t>
            </w:r>
          </w:p>
        </w:tc>
        <w:tc>
          <w:tcPr>
            <w:tcW w:w="6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6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4"/>
                <w:szCs w:val="14"/>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 Share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​$22.50</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​​$300,375,000​​</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​​$345,431,250​</w:t>
            </w:r>
          </w:p>
        </w:tc>
        <w:tc>
          <w:tcPr>
            <w:tcW w:w="60" w:type="dxa"/>
            <w:vAlign w:val="bottom"/>
          </w:tcPr>
          <w:p>
            <w:pPr>
              <w:spacing w:after="0"/>
              <w:rPr>
                <w:sz w:val="20"/>
                <w:szCs w:val="20"/>
                <w:color w:val="auto"/>
              </w:rPr>
            </w:pP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​$ 1.35</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18,022,500​​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20,725,875​</w:t>
            </w:r>
          </w:p>
        </w:tc>
      </w:tr>
      <w:tr>
        <w:trPr>
          <w:trHeight w:val="24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IVERIC bio, Inc.</w:t>
            </w:r>
          </w:p>
        </w:tc>
        <w:tc>
          <w:tcPr>
            <w:tcW w:w="8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​$21.15</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​​$282,352,500​​</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​​$324,705,375​</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-470535</wp:posOffset>
            </wp:positionV>
            <wp:extent cx="4568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to the public at the public offering prices set forth on the cover of this prospectus. The underwriters may offer the shares of common stock to securities dealers at the public offering price less a concession not in excess of $0.81 per share of common stock. If all of the shares are not sold at the public offering price, the underwriters may change the offering prices and other selling terms.</w:t>
      </w:r>
    </w:p>
    <w:p>
      <w:pPr>
        <w:spacing w:after="0" w:line="103" w:lineRule="exact"/>
        <w:rPr>
          <w:sz w:val="20"/>
          <w:szCs w:val="20"/>
          <w:color w:val="auto"/>
        </w:rPr>
      </w:pPr>
    </w:p>
    <w:p>
      <w:pPr>
        <w:ind w:left="1260" w:right="479" w:firstLine="36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Discretionary Accounts. </w:t>
      </w:r>
      <w:r>
        <w:rPr>
          <w:rFonts w:ascii="Times New Roman" w:cs="Times New Roman" w:eastAsia="Times New Roman" w:hAnsi="Times New Roman"/>
          <w:sz w:val="18"/>
          <w:szCs w:val="18"/>
          <w:color w:val="auto"/>
        </w:rPr>
        <w:t>The underwriters do not intend to confirm sales of the shares to any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they have discretionary authority.</w:t>
      </w:r>
    </w:p>
    <w:p>
      <w:pPr>
        <w:spacing w:after="0" w:line="77" w:lineRule="exact"/>
        <w:rPr>
          <w:sz w:val="20"/>
          <w:szCs w:val="20"/>
          <w:color w:val="auto"/>
        </w:rPr>
      </w:pPr>
    </w:p>
    <w:p>
      <w:pPr>
        <w:ind w:left="1260" w:right="839"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In connection with this offering, the underwriters may engage in stabilizing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overallotment transactions, syndicate covering transactions, penalty bids and purchases to cover positions created by short sales.</w:t>
      </w:r>
    </w:p>
    <w:p>
      <w:pPr>
        <w:spacing w:after="0" w:line="80" w:lineRule="exact"/>
        <w:rPr>
          <w:sz w:val="20"/>
          <w:szCs w:val="20"/>
          <w:color w:val="auto"/>
        </w:rPr>
      </w:pPr>
    </w:p>
    <w:p>
      <w:pPr>
        <w:ind w:left="1800" w:right="69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8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23"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32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 to reclaim a selling concession from a syndicate member when the common stock originally sold by that syndicate member is purchased in stabilizing or syndicate covering transactions to cover syndicate short positions.</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w:t>
      </w:r>
    </w:p>
    <w:p>
      <w:pPr>
        <w:spacing w:after="0" w:line="107"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Passive Market Making. </w:t>
      </w:r>
      <w:r>
        <w:rPr>
          <w:rFonts w:ascii="Times New Roman" w:cs="Times New Roman" w:eastAsia="Times New Roman" w:hAnsi="Times New Roman"/>
          <w:sz w:val="18"/>
          <w:szCs w:val="18"/>
          <w:color w:val="auto"/>
        </w:rPr>
        <w:t>In connection with this offering, underwriters and selling group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engage in passive market making transactions in our common stock on the Nasdaq Stock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Lock-Up Agreements. </w:t>
      </w:r>
      <w:r>
        <w:rPr>
          <w:rFonts w:ascii="Times New Roman" w:cs="Times New Roman" w:eastAsia="Times New Roman" w:hAnsi="Times New Roman"/>
          <w:sz w:val="18"/>
          <w:szCs w:val="18"/>
          <w:color w:val="auto"/>
        </w:rPr>
        <w:t>We and certain of our directors and officers have agreed that,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Morgan Stanley &amp; Co. LLC and BofA Securities, Inc. on behalf of the underwriters, we or such other person, will not, during the period ending 60 days after the date of this prospectus (the “restricted period”):</w:t>
      </w:r>
    </w:p>
    <w:p>
      <w:pPr>
        <w:spacing w:after="0" w:line="68" w:lineRule="exact"/>
        <w:rPr>
          <w:sz w:val="20"/>
          <w:szCs w:val="20"/>
          <w:color w:val="auto"/>
        </w:rPr>
      </w:pPr>
    </w:p>
    <w:p>
      <w:pPr>
        <w:ind w:left="1800" w:right="57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or any securities so owned convertible into or exercisable or exchangeable for shares of common stock;</w:t>
      </w:r>
    </w:p>
    <w:p>
      <w:pPr>
        <w:spacing w:after="0" w:line="75"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or</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make any such offer, sale, pledge or disposition of shares of common stock;</w:t>
      </w:r>
    </w:p>
    <w:p>
      <w:pPr>
        <w:spacing w:after="0" w:line="81"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in respect of:</w:t>
      </w:r>
    </w:p>
    <w:p>
      <w:pPr>
        <w:spacing w:after="0" w:line="144" w:lineRule="exact"/>
        <w:rPr>
          <w:sz w:val="20"/>
          <w:szCs w:val="20"/>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 or</w:t>
      </w:r>
    </w:p>
    <w:p>
      <w:pPr>
        <w:spacing w:after="0" w:line="157"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warrant, vesting of restricted stock units or the conversion of a security described in this prospectus and outstanding on the date hereof; or</w:t>
      </w:r>
    </w:p>
    <w:p>
      <w:pPr>
        <w:spacing w:after="0" w:line="94" w:lineRule="exact"/>
        <w:rPr>
          <w:rFonts w:ascii="Times New Roman" w:cs="Times New Roman" w:eastAsia="Times New Roman" w:hAnsi="Times New Roman"/>
          <w:sz w:val="18"/>
          <w:szCs w:val="18"/>
          <w:color w:val="auto"/>
        </w:rPr>
      </w:pPr>
    </w:p>
    <w:p>
      <w:pPr>
        <w:ind w:left="1980" w:right="117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and other awards granted under a stock incentive plan or stock purchase plan described in this prospectus (and the issuance of shares upon the exercise thereof); or</w:t>
      </w:r>
    </w:p>
    <w:p>
      <w:pPr>
        <w:spacing w:after="0" w:line="94" w:lineRule="exact"/>
        <w:rPr>
          <w:rFonts w:ascii="Times New Roman" w:cs="Times New Roman" w:eastAsia="Times New Roman" w:hAnsi="Times New Roman"/>
          <w:sz w:val="18"/>
          <w:szCs w:val="18"/>
          <w:color w:val="auto"/>
        </w:rPr>
      </w:pPr>
    </w:p>
    <w:p>
      <w:pPr>
        <w:jc w:val="both"/>
        <w:ind w:left="1980" w:right="63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any registration statement on Form S-8 or a successor form thereto relating to the shares of common stock granted pursuant to or reserved for issuance under a stock incentive plan or stock purchase plan described in this prospectus; or</w:t>
      </w:r>
    </w:p>
    <w:p>
      <w:pPr>
        <w:spacing w:after="0" w:line="94" w:lineRule="exact"/>
        <w:rPr>
          <w:rFonts w:ascii="Times New Roman" w:cs="Times New Roman" w:eastAsia="Times New Roman" w:hAnsi="Times New Roman"/>
          <w:sz w:val="18"/>
          <w:szCs w:val="18"/>
          <w:color w:val="auto"/>
        </w:rPr>
      </w:pPr>
    </w:p>
    <w:p>
      <w:pPr>
        <w:ind w:left="1980" w:right="639" w:hanging="360"/>
        <w:spacing w:after="0" w:line="261"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shares of common stock upon the Company’s achievement of milestones under, or in consideration for or in lieu of potential future milestone payments or otherwise in connection with, existing licensing and/or acquisition agreements, described in this prospectus; or</w:t>
      </w:r>
    </w:p>
    <w:p>
      <w:pPr>
        <w:spacing w:after="0" w:line="98" w:lineRule="exact"/>
        <w:rPr>
          <w:rFonts w:ascii="Times New Roman" w:cs="Times New Roman" w:eastAsia="Times New Roman" w:hAnsi="Times New Roman"/>
          <w:sz w:val="18"/>
          <w:szCs w:val="18"/>
          <w:color w:val="auto"/>
        </w:rPr>
      </w:pPr>
    </w:p>
    <w:p>
      <w:pPr>
        <w:ind w:left="1980" w:right="519" w:hanging="360"/>
        <w:spacing w:after="0" w:line="25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and sale of up to 500,000 shares of common stock at or above the then-prevailing market price in connection with a transaction that includes additional non-dilutive funding for the development of one or more of our product candidates,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recipient of such shares agrees not to sell, transfer or otherwise dispose of such shares for the remainder of the restricted period without the prior written consent of Morgan Stanley &amp; Co. LLC and BofA Securities, Inc. on behalf of the underwriters; or</w:t>
      </w:r>
    </w:p>
    <w:p>
      <w:pPr>
        <w:spacing w:after="0" w:line="119" w:lineRule="exact"/>
        <w:rPr>
          <w:rFonts w:ascii="Times New Roman" w:cs="Times New Roman" w:eastAsia="Times New Roman" w:hAnsi="Times New Roman"/>
          <w:sz w:val="18"/>
          <w:szCs w:val="18"/>
          <w:color w:val="auto"/>
        </w:rPr>
      </w:pPr>
    </w:p>
    <w:p>
      <w:pPr>
        <w:ind w:left="1980" w:right="499" w:hanging="360"/>
        <w:spacing w:after="0" w:line="254"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or other securities issued in connection with a transaction that includes a commercial relationship (including joint ventures, marketing or distribution arrangements, collaboration agreements, outlicenses, disposition agreements or intellectual property license agreements) or any acquisition of assets or not less than a majority or controlling portion of the equity of another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aggregate number of shares of common stock issued pursuant to this clause (g) shall not exceed 5.0% of the total number of outstanding shares of common stock and (y) the recipient of any such shares of common stock and securities issued pursuant to this clause (g) during the restricted period shall enter into a lock-up agreement; or</w:t>
      </w:r>
    </w:p>
    <w:p>
      <w:pPr>
        <w:spacing w:after="0" w:line="11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80" w:right="459"/>
        <w:spacing w:after="0" w:line="251" w:lineRule="auto"/>
        <w:rPr>
          <w:sz w:val="20"/>
          <w:szCs w:val="20"/>
          <w:color w:val="auto"/>
        </w:rPr>
      </w:pPr>
      <w:r>
        <w:rPr>
          <w:rFonts w:ascii="Times New Roman" w:cs="Times New Roman" w:eastAsia="Times New Roman" w:hAnsi="Times New Roman"/>
          <w:sz w:val="18"/>
          <w:szCs w:val="18"/>
          <w:color w:val="auto"/>
        </w:rPr>
        <w:t xml:space="preserve">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0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second immediately preceding paragraph do not apply to directors or officers in respect of:</w:t>
      </w:r>
    </w:p>
    <w:p>
      <w:pPr>
        <w:spacing w:after="0" w:line="95" w:lineRule="exact"/>
        <w:rPr>
          <w:sz w:val="20"/>
          <w:szCs w:val="20"/>
          <w:color w:val="auto"/>
        </w:rPr>
      </w:pPr>
    </w:p>
    <w:p>
      <w:pPr>
        <w:ind w:left="1980" w:right="79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acquired in this offering or acquired in open market transactions after the completion of this offering; or</w:t>
      </w:r>
    </w:p>
    <w:p>
      <w:pPr>
        <w:spacing w:after="0" w:line="80" w:lineRule="exact"/>
        <w:rPr>
          <w:rFonts w:ascii="Times New Roman" w:cs="Times New Roman" w:eastAsia="Times New Roman" w:hAnsi="Times New Roman"/>
          <w:sz w:val="18"/>
          <w:szCs w:val="18"/>
          <w:color w:val="auto"/>
        </w:rPr>
      </w:pPr>
    </w:p>
    <w:p>
      <w:pPr>
        <w:ind w:left="1980" w:right="419" w:hanging="360"/>
        <w:spacing w:after="0" w:line="258"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options to purchase shares of common stock granted under a stock incentive plan or stock purchase plan which is described in this prospectus or the exercise of warrants to purchase shares of common stock described in this prospectus and outstanding as of the date of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common stock continues to be subject to the restrictions set forth above; or</w:t>
      </w:r>
    </w:p>
    <w:p>
      <w:pPr>
        <w:spacing w:after="0" w:line="102"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options to purchase shares of common stock granted under a stock incentive plan or stock purchase plan described in this prospectus pursuant to an arrangement whereby we withhold shares issuable pursuant to such option in payment of the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or other public announcement, reporting a reduction in beneficial ownership of shares of common stock, shall be required or shall be voluntarily made during the restricted period in connection with such option exercise,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underlying common stock issued upon the exercise of such options continues to be subject to the restrictions set forth above; or</w:t>
      </w:r>
    </w:p>
    <w:p>
      <w:pPr>
        <w:spacing w:after="0" w:line="110" w:lineRule="exact"/>
        <w:rPr>
          <w:rFonts w:ascii="Times New Roman" w:cs="Times New Roman" w:eastAsia="Times New Roman" w:hAnsi="Times New Roman"/>
          <w:sz w:val="18"/>
          <w:szCs w:val="18"/>
          <w:color w:val="auto"/>
        </w:rPr>
      </w:pPr>
    </w:p>
    <w:p>
      <w:pPr>
        <w:ind w:left="1980" w:right="479" w:hanging="360"/>
        <w:spacing w:after="0" w:line="258"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to us of common stock or any security convertible into or exercisable or exchangeable for common stock pursuant to any contractual arrangement in effect on the date of the lock-up agreement that provides for the repurchase by us of the director’s or officer’s common stock or such other securities or in connection with the termination of the director’s or officer’s employment with us; or</w:t>
      </w:r>
    </w:p>
    <w:p>
      <w:pPr>
        <w:spacing w:after="0" w:line="115"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as a bona fide gift; or</w:t>
      </w:r>
    </w:p>
    <w:p>
      <w:pPr>
        <w:spacing w:after="0" w:line="80"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by will or other testamentary document or by intestacy; or</w:t>
      </w:r>
    </w:p>
    <w:p>
      <w:pPr>
        <w:spacing w:after="0" w:line="94" w:lineRule="exact"/>
        <w:rPr>
          <w:rFonts w:ascii="Times New Roman" w:cs="Times New Roman" w:eastAsia="Times New Roman" w:hAnsi="Times New Roman"/>
          <w:sz w:val="18"/>
          <w:szCs w:val="18"/>
          <w:color w:val="auto"/>
        </w:rPr>
      </w:pPr>
    </w:p>
    <w:p>
      <w:pPr>
        <w:ind w:left="1980" w:right="559" w:hanging="360"/>
        <w:spacing w:after="0" w:line="261"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or exercisable or exchangeable for common stock to limited partners, members, stockholders or trust beneficiaries of the directors or officers or to any investment fund or other entity controlled or managed by the directors or officers; or</w:t>
      </w:r>
    </w:p>
    <w:p>
      <w:pPr>
        <w:spacing w:after="0" w:line="98"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trust for the direct or indirect benefit of the director or officer or the immediate family of the director or officer in a transaction not involving a disposition for value; or</w:t>
      </w:r>
    </w:p>
    <w:p>
      <w:pPr>
        <w:spacing w:after="0" w:line="110"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in the case of any transfer or distribution pursuant to clause (e), (f), (g) or (h), each donee,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transferee or distributee shall sign and deliver a lock-up letter substantially in the form of the lock-up agreement and (ii) in the case of any transfer or distribution pursuant to clause (a), (e), (g) or (h), no filing under Section 16(a) of the Exchange Act or other public announcement, reporting a reduction in beneficial ownership of shares of common stock, shall be required or shall be voluntarily made during the restricted period in connection with such transfer or distribution, or</w:t>
      </w:r>
    </w:p>
    <w:p>
      <w:pPr>
        <w:spacing w:after="0" w:line="116" w:lineRule="exact"/>
        <w:rPr>
          <w:sz w:val="20"/>
          <w:szCs w:val="20"/>
          <w:color w:val="auto"/>
        </w:rPr>
      </w:pPr>
    </w:p>
    <w:p>
      <w:pPr>
        <w:ind w:left="1980" w:right="479" w:hanging="360"/>
        <w:spacing w:after="0" w:line="261"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our directors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579"/>
        <w:spacing w:after="0" w:line="258" w:lineRule="auto"/>
        <w:rPr>
          <w:sz w:val="20"/>
          <w:szCs w:val="20"/>
          <w:color w:val="auto"/>
        </w:rPr>
      </w:pPr>
      <w:r>
        <w:rPr>
          <w:rFonts w:ascii="Times New Roman" w:cs="Times New Roman" w:eastAsia="Times New Roman" w:hAnsi="Times New Roman"/>
          <w:sz w:val="18"/>
          <w:szCs w:val="18"/>
          <w:color w:val="auto"/>
        </w:rPr>
        <w:t>or officers regarding the establishment of such plan, such announcement or filing shall include a statement to the effect that no transfer of common stock may be made under such plan during the restricted period; or</w:t>
      </w:r>
    </w:p>
    <w:p>
      <w:pPr>
        <w:spacing w:after="0" w:line="102" w:lineRule="exact"/>
        <w:rPr>
          <w:sz w:val="20"/>
          <w:szCs w:val="20"/>
          <w:color w:val="auto"/>
        </w:rPr>
      </w:pPr>
    </w:p>
    <w:p>
      <w:pPr>
        <w:ind w:left="1980" w:right="459" w:hanging="360"/>
        <w:spacing w:after="0" w:line="255"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or the withholding of shares of common stock, solely in connection with the payment of taxes due with respect to the vesting of restricted stock unit awards, insofar as such restricted stock units are outstanding as of the date of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 public announcement or filing under the Exchange Act, if any, is required or voluntarily made by or on behalf of us or the director or officer regarding any such disposition or withholding, such announcement or filing shall include a statement to the effect that the that the transfer relates to the payment of taxes due with respect to the vesting of such restricted stock unit awards; or</w:t>
      </w:r>
    </w:p>
    <w:p>
      <w:pPr>
        <w:spacing w:after="0" w:line="107" w:lineRule="exact"/>
        <w:rPr>
          <w:rFonts w:ascii="Times New Roman" w:cs="Times New Roman" w:eastAsia="Times New Roman" w:hAnsi="Times New Roman"/>
          <w:sz w:val="18"/>
          <w:szCs w:val="18"/>
          <w:color w:val="auto"/>
        </w:rPr>
      </w:pPr>
    </w:p>
    <w:p>
      <w:pPr>
        <w:ind w:left="1980" w:right="499" w:hanging="360"/>
        <w:spacing w:after="0" w:line="256"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pursuant to sales in the public market undertaken under a trading plan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trading plan shall have been in effect prior to the date of this prospectus, and provided further that to the extent a public announcement or filing under the Exchange Act, if any, is required or voluntarily made regarding any such sales, such announcement or filing shall include a statement to the effect that sale was made pursuant to a trading plan pursuant to Rule 10b5-1 under the Exchange Act.</w:t>
      </w:r>
    </w:p>
    <w:p>
      <w:pPr>
        <w:spacing w:after="0" w:line="10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lock-up agreements “immediate family” shall mean any relationship by blood, marriage or adoption, not more remote than first cousin.</w:t>
      </w:r>
    </w:p>
    <w:p>
      <w:pPr>
        <w:spacing w:after="0" w:line="8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Morgan Stanley &amp; Co. LLC and BofA Securities, Inc., in their sole discretion, may release the common stock and other securities subject to the lock-up agreements described above in whole or in part at any time with or without notice.</w:t>
      </w:r>
    </w:p>
    <w:p>
      <w:pPr>
        <w:spacing w:after="0" w:line="10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Canada. </w:t>
      </w:r>
      <w:r>
        <w:rPr>
          <w:rFonts w:ascii="Times New Roman" w:cs="Times New Roman" w:eastAsia="Times New Roman" w:hAnsi="Times New Roman"/>
          <w:sz w:val="18"/>
          <w:szCs w:val="18"/>
          <w:color w:val="auto"/>
        </w:rPr>
        <w:t>The common stock may be sold only to purchasers purchasing, or deemed to be purchasing,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principal that are accredited investors, as defined in National Instrument 45- 106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common stock must be made in accordance with an exemption from, or in a transaction not subject to, the prospectus requirements of applicable securities laws.</w:t>
      </w:r>
    </w:p>
    <w:p>
      <w:pPr>
        <w:spacing w:after="0" w:line="114"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left="1260" w:right="979" w:firstLine="360"/>
        <w:spacing w:after="0" w:line="251"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7"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European Economic Area</w:t>
      </w:r>
      <w:r>
        <w:rPr>
          <w:rFonts w:ascii="Times New Roman" w:cs="Times New Roman" w:eastAsia="Times New Roman" w:hAnsi="Times New Roman"/>
          <w:sz w:val="18"/>
          <w:szCs w:val="18"/>
          <w:color w:val="auto"/>
        </w:rPr>
        <w:t>. In relation to each Member State of the European Economic Area (each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312" w:lineRule="exact"/>
        <w:rPr>
          <w:sz w:val="20"/>
          <w:szCs w:val="20"/>
          <w:color w:val="auto"/>
        </w:rPr>
      </w:pPr>
    </w:p>
    <w:p>
      <w:pPr>
        <w:ind w:left="1980" w:right="97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of the underwriters for any such offer;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of common stock shall require the Company or any underwriter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 a prospectus pursuant to Article 3 of the Prospectus Regulation or supplement a prospectus pursuant to Article 23 of the Prospectus Regulation and each person who initially acquires any shares of common stock or to whom any offer is made will be deemed to have represented, acknowledged and agreed to and with each of the underwriters and the Company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 -discretionary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has been obtained to each such proposed offer or resale.</w:t>
      </w:r>
    </w:p>
    <w:p>
      <w:pPr>
        <w:spacing w:after="0" w:line="33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 No shares of common stock have been offered or will be offered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95" w:lineRule="exact"/>
        <w:rPr>
          <w:sz w:val="20"/>
          <w:szCs w:val="20"/>
          <w:color w:val="auto"/>
        </w:rPr>
      </w:pPr>
    </w:p>
    <w:p>
      <w:pPr>
        <w:ind w:left="1980" w:right="57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of the underwriters for any such offer;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6"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common stock shall require the Company or any underwriter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 a prospectus pursuant to Section 85 of the FSMA or supplement a prospectus pursuant to Article 23 of the U.K. Prospectus Regulation. 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 In addition, in the United Kingdom, this document is being distributed only to, and is directed only at, and any offer subsequently made may only be directed at persons who are “qualified investors” ​(as defined in the U.K. Prospectus Regulation)</w:t>
      </w:r>
    </w:p>
    <w:p>
      <w:pPr>
        <w:spacing w:after="0" w:line="7" w:lineRule="exact"/>
        <w:rPr>
          <w:sz w:val="20"/>
          <w:szCs w:val="20"/>
          <w:color w:val="auto"/>
        </w:rPr>
      </w:pPr>
    </w:p>
    <w:p>
      <w:pPr>
        <w:ind w:left="1260" w:right="579"/>
        <w:spacing w:after="0" w:line="252" w:lineRule="auto"/>
        <w:tabs>
          <w:tab w:leader="none" w:pos="1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The shares of common stock may not be publicly offered in Switzerland and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of common stock or the offering may be publicly distributed or otherwise made publicly available in Switzerland.</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of common stock have been or will be filed with or approved by any Swiss regulatory authority. In particular, this document will not be filed with, and the offer of shares of common stock will not be supervised by, the Swiss Financial Market Supervisory Authority,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Israel. </w:t>
      </w:r>
      <w:r>
        <w:rPr>
          <w:rFonts w:ascii="Times New Roman" w:cs="Times New Roman" w:eastAsia="Times New Roman" w:hAnsi="Times New Roman"/>
          <w:sz w:val="18"/>
          <w:szCs w:val="18"/>
          <w:color w:val="auto"/>
        </w:rPr>
        <w:t>In the State of Israel this prospectus shall not be regarded as an offer to the public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w:t>
      </w:r>
    </w:p>
    <w:p>
      <w:pPr>
        <w:spacing w:after="0" w:line="1" w:lineRule="exact"/>
        <w:rPr>
          <w:sz w:val="20"/>
          <w:szCs w:val="20"/>
          <w:color w:val="auto"/>
        </w:rPr>
      </w:pPr>
    </w:p>
    <w:p>
      <w:pPr>
        <w:ind w:left="1260" w:right="519"/>
        <w:spacing w:after="0" w:line="251" w:lineRule="auto"/>
        <w:tabs>
          <w:tab w:leader="none" w:pos="15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1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w:t>
      </w:r>
    </w:p>
    <w:p>
      <w:pPr>
        <w:spacing w:after="0" w:line="5" w:lineRule="exact"/>
        <w:rPr>
          <w:sz w:val="20"/>
          <w:szCs w:val="20"/>
          <w:color w:val="auto"/>
        </w:rPr>
      </w:pPr>
    </w:p>
    <w:p>
      <w:pPr>
        <w:ind w:left="1260" w:right="439"/>
        <w:spacing w:after="0" w:line="251" w:lineRule="auto"/>
        <w:tabs>
          <w:tab w:leader="none" w:pos="15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Electronic Offer, Sale and Distribution of Shares. </w:t>
      </w:r>
      <w:r>
        <w:rPr>
          <w:rFonts w:ascii="Times New Roman" w:cs="Times New Roman" w:eastAsia="Times New Roman" w:hAnsi="Times New Roman"/>
          <w:sz w:val="18"/>
          <w:szCs w:val="18"/>
          <w:color w:val="auto"/>
        </w:rPr>
        <w:t>A prospectus in electronic format may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33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Relationships. </w:t>
      </w:r>
      <w:r>
        <w:rPr>
          <w:rFonts w:ascii="Times New Roman" w:cs="Times New Roman" w:eastAsia="Times New Roman" w:hAnsi="Times New Roman"/>
          <w:sz w:val="18"/>
          <w:szCs w:val="18"/>
          <w:color w:val="auto"/>
        </w:rPr>
        <w:t>Certain of the underwriters and their affiliates have provided, and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provide, various investment banking, commercial banking and other financial services for us and our affiliates for which they have received, and may in the future receive, customary fees. Cowen and Company, LLC is the sales agent under our sales agreement.</w:t>
      </w: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validity of the shares of common stock offered hereby is being passed upon for us by Wilmer Cutler Pickering Hale and Dorr LLP. Davis Polk &amp; Wardwell LLP is acting as counsel for the underwriters in connection with this offering.</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79" w:firstLine="360"/>
        <w:spacing w:after="0" w:line="24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Ernst &amp; Young LLP, independent registered public accounting firm, has audited our consolidated </w:t>
      </w:r>
      <w:hyperlink r:id="rId46">
        <w:r>
          <w:rPr>
            <w:rFonts w:ascii="Times New Roman" w:cs="Times New Roman" w:eastAsia="Times New Roman" w:hAnsi="Times New Roman"/>
            <w:sz w:val="18"/>
            <w:szCs w:val="18"/>
            <w:color w:val="auto"/>
          </w:rPr>
          <w:t xml:space="preserve">financial statements, included in our </w:t>
        </w:r>
        <w:r>
          <w:rPr>
            <w:rFonts w:ascii="Times New Roman" w:cs="Times New Roman" w:eastAsia="Times New Roman" w:hAnsi="Times New Roman"/>
            <w:sz w:val="18"/>
            <w:szCs w:val="18"/>
            <w:u w:val="single" w:color="auto"/>
            <w:color w:val="0000EE"/>
          </w:rPr>
          <w:t>Annual Report on Form 10- K for the fiscal year ended December 31,</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and the effectiveness of our internal control over financial reporting as of December 31, 2021, as set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forth in their reports, which are incorporated by reference in this prospectus supplement and elsewhere in the registration statement. Our consolidated financial statements are incorporated herein by reference in reliance on Ernst &amp; Young LLP’s reports, given on their authority as experts in accounting and auditing.</w:t>
      </w:r>
    </w:p>
    <w:p>
      <w:pPr>
        <w:spacing w:after="0" w:line="19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www.ivericbio.com. Our website is not a part of this prospectus supplement and is not incorporated by reference in this prospectus supplement.</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accompanying prospectus and the registration statement for further information about us and our consolidated subsidiaries and the securities we are offering. Statements in this prospectus supplement concerning any document we filed as an exhibit to the accompanying prospectus, the registration statement or that we otherwise filed with the SEC are not intended to be comprehensive and are qualified by reference to these filings. You should review the complete document to evaluate these statements. You can obtain a copy of the accompanying prospectus and the registration statement from the SEC’s website.</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the accompanying prospectus or in any document previously incorporated by reference have been modified or superseded. This prospectus supplement incorporates by reference the documents listed below (File No. 001-36080)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w:t>
      </w:r>
    </w:p>
    <w:p>
      <w:pPr>
        <w:spacing w:after="0" w:line="81" w:lineRule="exact"/>
        <w:rPr>
          <w:sz w:val="20"/>
          <w:szCs w:val="20"/>
          <w:color w:val="auto"/>
        </w:rPr>
      </w:pPr>
    </w:p>
    <w:p>
      <w:pPr>
        <w:ind w:left="1800" w:right="519" w:hanging="180"/>
        <w:spacing w:after="0" w:line="261" w:lineRule="auto"/>
        <w:tabs>
          <w:tab w:leader="none" w:pos="1800" w:val="left"/>
        </w:tabs>
        <w:numPr>
          <w:ilvl w:val="0"/>
          <w:numId w:val="27"/>
        </w:numPr>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Annual Report on Form 10-K for the fiscal year ended December 31, 2021, as filed with the SEC on</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February 24, 2022</w:t>
        </w:r>
        <w:r>
          <w:rPr>
            <w:rFonts w:ascii="Times New Roman" w:cs="Times New Roman" w:eastAsia="Times New Roman" w:hAnsi="Times New Roman"/>
            <w:sz w:val="18"/>
            <w:szCs w:val="18"/>
            <w:color w:val="000000"/>
          </w:rPr>
          <w:t>, including the information specifically incorporated by reference into the Annual</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color w:val="000000"/>
          </w:rPr>
          <w:t xml:space="preserve">Report on Form 10-K from our </w:t>
        </w:r>
        <w:r>
          <w:rPr>
            <w:rFonts w:ascii="Times New Roman" w:cs="Times New Roman" w:eastAsia="Times New Roman" w:hAnsi="Times New Roman"/>
            <w:sz w:val="18"/>
            <w:szCs w:val="18"/>
            <w:u w:val="single" w:color="auto"/>
            <w:color w:val="0000EE"/>
          </w:rPr>
          <w:t>definitive proxy statement for the 2022 Annual Meeting of</w:t>
        </w:r>
      </w:hyperlink>
      <w:r>
        <w:rPr>
          <w:rFonts w:ascii="Times New Roman" w:cs="Times New Roman" w:eastAsia="Times New Roman" w:hAnsi="Times New Roman"/>
          <w:sz w:val="18"/>
          <w:szCs w:val="18"/>
          <w:color w:val="000000"/>
        </w:rPr>
        <w:t xml:space="preserve"> </w:t>
      </w:r>
      <w:hyperlink r:id="rId70">
        <w:r>
          <w:rPr>
            <w:rFonts w:ascii="Times New Roman" w:cs="Times New Roman" w:eastAsia="Times New Roman" w:hAnsi="Times New Roman"/>
            <w:sz w:val="18"/>
            <w:szCs w:val="18"/>
            <w:u w:val="single" w:color="auto"/>
            <w:color w:val="0000EE"/>
          </w:rPr>
          <w:t>Stockholders, as filed with the SEC on March 30, 2022;</w:t>
        </w:r>
      </w:hyperlink>
    </w:p>
    <w:p>
      <w:pPr>
        <w:spacing w:after="0" w:line="71" w:lineRule="exact"/>
        <w:rPr>
          <w:rFonts w:ascii="Times New Roman" w:cs="Times New Roman" w:eastAsia="Times New Roman" w:hAnsi="Times New Roman"/>
          <w:sz w:val="18"/>
          <w:szCs w:val="18"/>
          <w:u w:val="single" w:color="auto"/>
          <w:color w:val="0000EE"/>
        </w:rPr>
      </w:pPr>
    </w:p>
    <w:p>
      <w:pPr>
        <w:jc w:val="both"/>
        <w:ind w:left="1800" w:right="6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March 31, 2022, June 30, 2022, and September 30, 2022 as filed with the SEC on </w:t>
      </w:r>
      <w:hyperlink r:id="rId47">
        <w:r>
          <w:rPr>
            <w:rFonts w:ascii="Times New Roman" w:cs="Times New Roman" w:eastAsia="Times New Roman" w:hAnsi="Times New Roman"/>
            <w:sz w:val="18"/>
            <w:szCs w:val="18"/>
            <w:u w:val="single" w:color="auto"/>
            <w:color w:val="0000EE"/>
          </w:rPr>
          <w:t>May 4, 2022</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July 26, 2022</w:t>
        </w:r>
      </w:hyperlink>
      <w:r>
        <w:rPr>
          <w:rFonts w:ascii="Times New Roman" w:cs="Times New Roman" w:eastAsia="Times New Roman" w:hAnsi="Times New Roman"/>
          <w:sz w:val="18"/>
          <w:szCs w:val="18"/>
          <w:color w:val="auto"/>
        </w:rPr>
        <w:t xml:space="preserve">, and </w:t>
      </w:r>
      <w:hyperlink r:id="rId49">
        <w:r>
          <w:rPr>
            <w:rFonts w:ascii="Times New Roman" w:cs="Times New Roman" w:eastAsia="Times New Roman" w:hAnsi="Times New Roman"/>
            <w:sz w:val="18"/>
            <w:szCs w:val="18"/>
            <w:u w:val="single" w:color="auto"/>
            <w:color w:val="0000EE"/>
          </w:rPr>
          <w:t>November 4, 2022</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as filed with the SEC on </w:t>
      </w:r>
      <w:hyperlink r:id="rId72">
        <w:r>
          <w:rPr>
            <w:rFonts w:ascii="Times New Roman" w:cs="Times New Roman" w:eastAsia="Times New Roman" w:hAnsi="Times New Roman"/>
            <w:sz w:val="18"/>
            <w:szCs w:val="18"/>
            <w:u w:val="single" w:color="auto"/>
            <w:color w:val="0000EE"/>
          </w:rPr>
          <w:t>January 11, 2022</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January 11, 2022</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800" w:right="579"/>
        <w:spacing w:after="0" w:line="260" w:lineRule="auto"/>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March 25,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April 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May 18,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 xml:space="preserve">July 5, 2022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Item 7.01 and Exhibit 99.1),</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July 26,</w:t>
        </w:r>
      </w:hyperlink>
    </w:p>
    <w:p>
      <w:pPr>
        <w:sectPr>
          <w:pgSz w:w="11900" w:h="16838" w:orient="portrait"/>
          <w:cols w:equalWidth="0" w:num="1">
            <w:col w:w="9879"/>
          </w:cols>
          <w:pgMar w:left="580" w:top="97" w:right="1440" w:bottom="1440" w:gutter="0" w:footer="0" w:header="0"/>
        </w:sectPr>
      </w:pPr>
    </w:p>
    <w:p>
      <w:pPr>
        <w:spacing w:after="0" w:line="357"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Item 2.02 and Exhibit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17,</w:t>
        </w:r>
      </w:hyperlink>
    </w:p>
    <w:p>
      <w:pPr>
        <w:spacing w:after="0" w:line="27" w:lineRule="exact"/>
        <w:rPr>
          <w:sz w:val="20"/>
          <w:szCs w:val="20"/>
          <w:color w:val="auto"/>
        </w:rPr>
      </w:pPr>
    </w:p>
    <w:p>
      <w:pPr>
        <w:ind w:left="1800"/>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1">
        <w:r>
          <w:rPr>
            <w:rFonts w:ascii="Times New Roman" w:cs="Times New Roman" w:eastAsia="Times New Roman" w:hAnsi="Times New Roman"/>
            <w:sz w:val="18"/>
            <w:szCs w:val="18"/>
            <w:u w:val="single" w:color="auto"/>
            <w:color w:val="0000EE"/>
          </w:rPr>
          <w:t>November 28, 2022</w:t>
        </w:r>
      </w:hyperlink>
      <w:hyperlink r:id="rId80">
        <w:r>
          <w:rPr>
            <w:rFonts w:ascii="Times New Roman" w:cs="Times New Roman" w:eastAsia="Times New Roman" w:hAnsi="Times New Roman"/>
            <w:sz w:val="18"/>
            <w:szCs w:val="18"/>
            <w:color w:val="000000"/>
          </w:rPr>
          <w:t>; and</w:t>
        </w:r>
      </w:hyperlink>
    </w:p>
    <w:p>
      <w:pPr>
        <w:spacing w:after="0" w:line="99" w:lineRule="exact"/>
        <w:rPr>
          <w:rFonts w:ascii="Times New Roman" w:cs="Times New Roman" w:eastAsia="Times New Roman" w:hAnsi="Times New Roman"/>
          <w:sz w:val="18"/>
          <w:szCs w:val="18"/>
          <w:color w:val="0000EE"/>
        </w:rPr>
      </w:pPr>
    </w:p>
    <w:p>
      <w:pPr>
        <w:ind w:left="1800" w:right="499" w:hanging="180"/>
        <w:spacing w:after="0" w:line="258" w:lineRule="auto"/>
        <w:tabs>
          <w:tab w:leader="none" w:pos="1800" w:val="left"/>
        </w:tabs>
        <w:numPr>
          <w:ilvl w:val="0"/>
          <w:numId w:val="28"/>
        </w:numPr>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auto"/>
          </w:rPr>
          <w:t xml:space="preserve">The description of our common stock contained in our </w:t>
        </w:r>
        <w:r>
          <w:rPr>
            <w:rFonts w:ascii="Times New Roman" w:cs="Times New Roman" w:eastAsia="Times New Roman" w:hAnsi="Times New Roman"/>
            <w:sz w:val="18"/>
            <w:szCs w:val="18"/>
            <w:u w:val="single" w:color="auto"/>
            <w:color w:val="0000EE"/>
          </w:rPr>
          <w:t>Registration Statement on Form 8-A filed</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with the SEC on September 20, 2013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as the description therein has been updated and superseded </w:t>
        </w:r>
      </w:hyperlink>
      <w:r>
        <w:rPr>
          <w:rFonts w:ascii="Times New Roman" w:cs="Times New Roman" w:eastAsia="Times New Roman" w:hAnsi="Times New Roman"/>
          <w:sz w:val="18"/>
          <w:szCs w:val="18"/>
          <w:color w:val="0000EE"/>
        </w:rPr>
        <w:t xml:space="preserve">by </w:t>
      </w:r>
      <w:hyperlink r:id="rId46">
        <w:r>
          <w:rPr>
            <w:rFonts w:ascii="Times New Roman" w:cs="Times New Roman" w:eastAsia="Times New Roman" w:hAnsi="Times New Roman"/>
            <w:sz w:val="18"/>
            <w:szCs w:val="18"/>
            <w:color w:val="000000"/>
          </w:rPr>
          <w:t xml:space="preserve">the description of our capital stock contained in </w:t>
        </w:r>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00"/>
          </w:rPr>
          <w:t xml:space="preserve"> to our </w:t>
        </w:r>
        <w:r>
          <w:rPr>
            <w:rFonts w:ascii="Times New Roman" w:cs="Times New Roman" w:eastAsia="Times New Roman" w:hAnsi="Times New Roman"/>
            <w:sz w:val="18"/>
            <w:szCs w:val="18"/>
            <w:u w:val="single" w:color="auto"/>
            <w:color w:val="0000EE"/>
          </w:rPr>
          <w:t>Annual Report on Form 10-K for</w:t>
        </w:r>
      </w:hyperlink>
      <w:r>
        <w:rPr>
          <w:rFonts w:ascii="Times New Roman" w:cs="Times New Roman" w:eastAsia="Times New Roman" w:hAnsi="Times New Roman"/>
          <w:sz w:val="18"/>
          <w:szCs w:val="18"/>
          <w:color w:val="000000"/>
        </w:rPr>
        <w:t xml:space="preserve"> </w:t>
      </w:r>
      <w:hyperlink r:id="rId46">
        <w:r>
          <w:rPr>
            <w:rFonts w:ascii="Times New Roman" w:cs="Times New Roman" w:eastAsia="Times New Roman" w:hAnsi="Times New Roman"/>
            <w:sz w:val="18"/>
            <w:szCs w:val="18"/>
            <w:u w:val="single" w:color="auto"/>
            <w:color w:val="0000EE"/>
          </w:rPr>
          <w:t>the fiscal year ended December 31, 2021, as filed with the SEC on February 24, 2022</w:t>
        </w:r>
        <w:r>
          <w:rPr>
            <w:rFonts w:ascii="Times New Roman" w:cs="Times New Roman" w:eastAsia="Times New Roman" w:hAnsi="Times New Roman"/>
            <w:sz w:val="18"/>
            <w:szCs w:val="18"/>
            <w:color w:val="000000"/>
          </w:rPr>
          <w:t>, and including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amendments and reports filed for the purpose of updating such description.</w:t>
      </w:r>
    </w:p>
    <w:p>
      <w:pPr>
        <w:spacing w:after="0" w:line="116" w:lineRule="exact"/>
        <w:rPr>
          <w:rFonts w:ascii="Times New Roman" w:cs="Times New Roman" w:eastAsia="Times New Roman" w:hAnsi="Times New Roman"/>
          <w:sz w:val="18"/>
          <w:szCs w:val="18"/>
          <w:color w:val="0000EE"/>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94"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IVERIC bio, Inc.</w:t>
      </w:r>
    </w:p>
    <w:p>
      <w:pPr>
        <w:spacing w:after="0" w:line="27"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8 Sylvan Way</w:t>
      </w:r>
    </w:p>
    <w:p>
      <w:pPr>
        <w:spacing w:after="0" w:line="9" w:lineRule="exact"/>
        <w:rPr>
          <w:rFonts w:ascii="Times New Roman" w:cs="Times New Roman" w:eastAsia="Times New Roman" w:hAnsi="Times New Roman"/>
          <w:sz w:val="18"/>
          <w:szCs w:val="18"/>
          <w:color w:val="0000EE"/>
        </w:rPr>
      </w:pPr>
    </w:p>
    <w:p>
      <w:pPr>
        <w:ind w:left="4520"/>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9"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(609) 474-6455</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88"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19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IVERIC bio, Inc.</w:t>
      </w:r>
    </w:p>
    <w:p>
      <w:pPr>
        <w:spacing w:after="0" w:line="23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The date of this prospectus is October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440" w:type="dxa"/>
            <w:vAlign w:val="bottom"/>
            <w:gridSpan w:val="1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1760" w:type="dxa"/>
            <w:vAlign w:val="bottom"/>
            <w:gridSpan w:val="3"/>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0000EE"/>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4140" w:type="dxa"/>
            <w:vAlign w:val="bottom"/>
            <w:tcBorders>
              <w:top w:val="single" w:sz="8" w:color="CCEEFF"/>
            </w:tcBorders>
            <w:gridSpan w:val="9"/>
          </w:tcPr>
          <w:p>
            <w:pPr>
              <w:spacing w:after="0"/>
              <w:rPr>
                <w:sz w:val="17"/>
                <w:szCs w:val="17"/>
                <w:color w:val="auto"/>
              </w:rPr>
            </w:pPr>
          </w:p>
        </w:tc>
        <w:tc>
          <w:tcPr>
            <w:tcW w:w="1680" w:type="dxa"/>
            <w:vAlign w:val="bottom"/>
            <w:tcBorders>
              <w:top w:val="single" w:sz="8" w:color="CCEEFF"/>
            </w:tcBorders>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CCEEFF"/>
            </w:tcBorders>
            <w:gridSpan w:val="1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50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2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60" w:type="dxa"/>
            <w:vAlign w:val="bottom"/>
            <w:tcBorders>
              <w:bottom w:val="single" w:sz="8" w:color="CCEEFF"/>
            </w:tcBorders>
            <w:gridSpan w:val="2"/>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IVERIC BIO, INC.</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64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right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gridSpan w:val="2"/>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60" w:type="dxa"/>
            <w:vAlign w:val="bottom"/>
            <w:tcBorders>
              <w:bottom w:val="single" w:sz="8" w:color="CCEEFF"/>
            </w:tcBorders>
            <w:gridSpan w:val="2"/>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960" w:type="dxa"/>
            <w:vAlign w:val="bottom"/>
            <w:tcBorders>
              <w:bottom w:val="single" w:sz="8" w:color="CCEEFF"/>
            </w:tcBorders>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gridSpan w:val="3"/>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60" w:type="dxa"/>
            <w:vAlign w:val="bottom"/>
            <w:tcBorders>
              <w:bottom w:val="single" w:sz="8" w:color="CCEEFF"/>
            </w:tcBorders>
            <w:gridSpan w:val="2"/>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SUBSCRIPTION RIGHTS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8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60" w:type="dxa"/>
            <w:vAlign w:val="bottom"/>
            <w:tcBorders>
              <w:bottom w:val="single" w:sz="8" w:color="CCEEFF"/>
            </w:tcBorders>
            <w:gridSpan w:val="2"/>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DEPOSITARY SHARES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00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right w:val="single" w:sz="8" w:color="CCEEFF"/>
            </w:tcBorders>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32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2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4320" w:type="dxa"/>
            <w:vAlign w:val="bottom"/>
            <w:gridSpan w:val="10"/>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right w:val="single" w:sz="8" w:color="0000EE"/>
            </w:tcBorders>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32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940" w:type="dxa"/>
            <w:vAlign w:val="bottom"/>
            <w:gridSpan w:val="1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640" w:type="dxa"/>
            <w:vAlign w:val="bottom"/>
            <w:tcBorders>
              <w:bottom w:val="single" w:sz="8" w:color="CCEEFF"/>
            </w:tcBorders>
            <w:gridSpan w:val="16"/>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5027930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1260" w:right="939" w:firstLine="360"/>
        <w:spacing w:after="0" w:line="27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w:t>
      </w:r>
    </w:p>
    <w:p>
      <w:pPr>
        <w:spacing w:after="0" w:line="105" w:lineRule="exact"/>
        <w:rPr>
          <w:sz w:val="20"/>
          <w:szCs w:val="20"/>
          <w:color w:val="auto"/>
        </w:rPr>
      </w:pPr>
    </w:p>
    <w:p>
      <w:pPr>
        <w:ind w:left="1260" w:right="639" w:firstLine="360"/>
        <w:spacing w:after="0" w:line="269"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headings “Where You Can Find More Information” and “Incorporation by Reference” beginning on page 1 of this prospectus.</w:t>
      </w:r>
    </w:p>
    <w:p>
      <w:pPr>
        <w:spacing w:after="0" w:line="107"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13" w:lineRule="exact"/>
        <w:rPr>
          <w:sz w:val="20"/>
          <w:szCs w:val="20"/>
          <w:color w:val="auto"/>
        </w:rPr>
      </w:pPr>
    </w:p>
    <w:p>
      <w:pPr>
        <w:jc w:val="both"/>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“IVERIC,” “we,” “our,” “us” and “the Company” refer, collectively, to IVERIC bio, Inc., a Delaware corporation, and its consolidated subsidiaries.</w:t>
      </w:r>
    </w:p>
    <w:p>
      <w:pPr>
        <w:spacing w:after="0" w:line="17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before making an investment decision pursuant to this prospectus and any accompanying prospectus supplement relating to a specific offering.</w:t>
      </w:r>
    </w:p>
    <w:p>
      <w:pPr>
        <w:spacing w:after="0" w:line="122"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7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579" w:firstLine="360"/>
        <w:spacing w:after="0" w:line="27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http://www.ivericbio.com. Our website is not a part of this prospectus and is not incorporated by reference in this prospectus.</w:t>
      </w:r>
    </w:p>
    <w:p>
      <w:pPr>
        <w:spacing w:after="0" w:line="33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means that we can disclose important information to you by referring you to those publicly available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The information that we incorporate by reference in this prospectus is considered to be part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Because we are incorporating by reference future filings with the SEC, this prospectus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continually updated and those future filings may modify or supersede some of the information included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in this prospectus. This means that you must look at all of the SEC filings that we incorporate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reference to determine if any of the statements in this prospectus or in any document previously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by reference have been modified or superseded. This prospectus incorporates by reference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listed below (File No. 001-36080) and any future filings we make with the SEC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Sections 13(a), 13(c), 14 or 15(d) of the Securities Exchange Act of 1934, as amended, or the Exchange Act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each case, other than those documents or the portions of those documents not deemed to be filed) until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offering of the securities under the registration statement is terminated or completed:</w:t>
      </w:r>
    </w:p>
    <w:p>
      <w:pPr>
        <w:spacing w:after="0" w:line="99" w:lineRule="exact"/>
        <w:rPr>
          <w:sz w:val="20"/>
          <w:szCs w:val="20"/>
          <w:color w:val="auto"/>
        </w:rPr>
      </w:pPr>
    </w:p>
    <w:p>
      <w:pPr>
        <w:ind w:left="1800" w:right="519" w:hanging="180"/>
        <w:spacing w:after="0" w:line="261" w:lineRule="auto"/>
        <w:tabs>
          <w:tab w:leader="none" w:pos="1800" w:val="left"/>
        </w:tabs>
        <w:numPr>
          <w:ilvl w:val="0"/>
          <w:numId w:val="29"/>
        </w:numPr>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Annual Report on Form 10-K for the fiscal year ended December 31, 2020, as filed with the SEC on</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March 4, 2021</w:t>
        </w:r>
        <w:r>
          <w:rPr>
            <w:rFonts w:ascii="Times New Roman" w:cs="Times New Roman" w:eastAsia="Times New Roman" w:hAnsi="Times New Roman"/>
            <w:sz w:val="18"/>
            <w:szCs w:val="18"/>
            <w:color w:val="000000"/>
          </w:rPr>
          <w:t>, including the information specifically incorporated by reference into the Annual</w:t>
        </w:r>
      </w:hyperlink>
      <w:r>
        <w:rPr>
          <w:rFonts w:ascii="Times New Roman" w:cs="Times New Roman" w:eastAsia="Times New Roman" w:hAnsi="Times New Roman"/>
          <w:sz w:val="18"/>
          <w:szCs w:val="18"/>
          <w:color w:val="0000EE"/>
        </w:rPr>
        <w:t xml:space="preserve"> </w:t>
      </w:r>
      <w:hyperlink r:id="rId90">
        <w:r>
          <w:rPr>
            <w:rFonts w:ascii="Times New Roman" w:cs="Times New Roman" w:eastAsia="Times New Roman" w:hAnsi="Times New Roman"/>
            <w:sz w:val="18"/>
            <w:szCs w:val="18"/>
            <w:color w:val="000000"/>
          </w:rPr>
          <w:t xml:space="preserve">Report on Form 10-K from our </w:t>
        </w:r>
        <w:r>
          <w:rPr>
            <w:rFonts w:ascii="Times New Roman" w:cs="Times New Roman" w:eastAsia="Times New Roman" w:hAnsi="Times New Roman"/>
            <w:sz w:val="18"/>
            <w:szCs w:val="18"/>
            <w:u w:val="single" w:color="auto"/>
            <w:color w:val="0000EE"/>
          </w:rPr>
          <w:t>definitive proxy statement for the 2021 Annual Meeting of</w:t>
        </w:r>
      </w:hyperlink>
      <w:r>
        <w:rPr>
          <w:rFonts w:ascii="Times New Roman" w:cs="Times New Roman" w:eastAsia="Times New Roman" w:hAnsi="Times New Roman"/>
          <w:sz w:val="18"/>
          <w:szCs w:val="18"/>
          <w:color w:val="000000"/>
        </w:rPr>
        <w:t xml:space="preserve"> </w:t>
      </w:r>
      <w:hyperlink r:id="rId90">
        <w:r>
          <w:rPr>
            <w:rFonts w:ascii="Times New Roman" w:cs="Times New Roman" w:eastAsia="Times New Roman" w:hAnsi="Times New Roman"/>
            <w:sz w:val="18"/>
            <w:szCs w:val="18"/>
            <w:u w:val="single" w:color="auto"/>
            <w:color w:val="0000EE"/>
          </w:rPr>
          <w:t>Stockholders, as filed with the SEC on April 7, 2021;</w:t>
        </w:r>
      </w:hyperlink>
    </w:p>
    <w:p>
      <w:pPr>
        <w:spacing w:after="0" w:line="71" w:lineRule="exact"/>
        <w:rPr>
          <w:rFonts w:ascii="Times New Roman" w:cs="Times New Roman" w:eastAsia="Times New Roman" w:hAnsi="Times New Roman"/>
          <w:sz w:val="18"/>
          <w:szCs w:val="18"/>
          <w:u w:val="single" w:color="auto"/>
          <w:color w:val="0000EE"/>
        </w:rPr>
      </w:pPr>
    </w:p>
    <w:p>
      <w:pPr>
        <w:ind w:left="1800" w:right="5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March 31, 2021 and June 30, 2021, as filed with the SEC on </w:t>
      </w:r>
      <w:hyperlink r:id="rId91">
        <w:r>
          <w:rPr>
            <w:rFonts w:ascii="Times New Roman" w:cs="Times New Roman" w:eastAsia="Times New Roman" w:hAnsi="Times New Roman"/>
            <w:sz w:val="18"/>
            <w:szCs w:val="18"/>
            <w:u w:val="single" w:color="auto"/>
            <w:color w:val="0000EE"/>
          </w:rPr>
          <w:t>May 5,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2">
        <w:r>
          <w:rPr>
            <w:rFonts w:ascii="Times New Roman" w:cs="Times New Roman" w:eastAsia="Times New Roman" w:hAnsi="Times New Roman"/>
            <w:sz w:val="18"/>
            <w:szCs w:val="18"/>
            <w:u w:val="single" w:color="auto"/>
            <w:color w:val="0000EE"/>
          </w:rPr>
          <w:t>August 4, 2021</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as filed with the SEC on </w:t>
      </w:r>
      <w:hyperlink r:id="rId93">
        <w:r>
          <w:rPr>
            <w:rFonts w:ascii="Times New Roman" w:cs="Times New Roman" w:eastAsia="Times New Roman" w:hAnsi="Times New Roman"/>
            <w:sz w:val="18"/>
            <w:szCs w:val="18"/>
            <w:u w:val="single" w:color="auto"/>
            <w:color w:val="0000EE"/>
          </w:rPr>
          <w:t>January 11,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w:t>
      </w:r>
      <w:hyperlink r:id="rId94">
        <w:r>
          <w:rPr>
            <w:rFonts w:ascii="Times New Roman" w:cs="Times New Roman" w:eastAsia="Times New Roman" w:hAnsi="Times New Roman"/>
            <w:sz w:val="18"/>
            <w:szCs w:val="18"/>
            <w:u w:val="single" w:color="auto"/>
            <w:color w:val="0000EE"/>
          </w:rPr>
          <w:t>April 5,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 xml:space="preserve">May 5, 2021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Item 2.02 and Exhibit 99.1),</w:t>
      </w:r>
      <w:r>
        <w:rPr>
          <w:rFonts w:ascii="Times New Roman" w:cs="Times New Roman" w:eastAsia="Times New Roman" w:hAnsi="Times New Roman"/>
          <w:sz w:val="18"/>
          <w:szCs w:val="18"/>
          <w:color w:val="0000EE"/>
        </w:rPr>
        <w:t xml:space="preserve"> </w:t>
      </w:r>
      <w:hyperlink r:id="rId96">
        <w:r>
          <w:rPr>
            <w:rFonts w:ascii="Times New Roman" w:cs="Times New Roman" w:eastAsia="Times New Roman" w:hAnsi="Times New Roman"/>
            <w:sz w:val="18"/>
            <w:szCs w:val="18"/>
            <w:u w:val="single" w:color="auto"/>
            <w:color w:val="0000EE"/>
          </w:rPr>
          <w:t>May 21,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7">
        <w:r>
          <w:rPr>
            <w:rFonts w:ascii="Times New Roman" w:cs="Times New Roman" w:eastAsia="Times New Roman" w:hAnsi="Times New Roman"/>
            <w:sz w:val="18"/>
            <w:szCs w:val="18"/>
            <w:u w:val="single" w:color="auto"/>
            <w:color w:val="0000EE"/>
          </w:rPr>
          <w:t>June 21,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8">
        <w:r>
          <w:rPr>
            <w:rFonts w:ascii="Times New Roman" w:cs="Times New Roman" w:eastAsia="Times New Roman" w:hAnsi="Times New Roman"/>
            <w:sz w:val="18"/>
            <w:szCs w:val="18"/>
            <w:u w:val="single" w:color="auto"/>
            <w:color w:val="0000EE"/>
          </w:rPr>
          <w:t>July 6,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9">
        <w:r>
          <w:rPr>
            <w:rFonts w:ascii="Times New Roman" w:cs="Times New Roman" w:eastAsia="Times New Roman" w:hAnsi="Times New Roman"/>
            <w:sz w:val="18"/>
            <w:szCs w:val="18"/>
            <w:u w:val="single" w:color="auto"/>
            <w:color w:val="0000EE"/>
          </w:rPr>
          <w:t>July 12,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0">
        <w:r>
          <w:rPr>
            <w:rFonts w:ascii="Times New Roman" w:cs="Times New Roman" w:eastAsia="Times New Roman" w:hAnsi="Times New Roman"/>
            <w:sz w:val="18"/>
            <w:szCs w:val="18"/>
            <w:u w:val="single" w:color="auto"/>
            <w:color w:val="0000EE"/>
          </w:rPr>
          <w:t xml:space="preserve">July 14, 2021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01">
        <w:r>
          <w:rPr>
            <w:rFonts w:ascii="Times New Roman" w:cs="Times New Roman" w:eastAsia="Times New Roman" w:hAnsi="Times New Roman"/>
            <w:sz w:val="18"/>
            <w:szCs w:val="18"/>
            <w:u w:val="single" w:color="auto"/>
            <w:color w:val="0000EE"/>
          </w:rPr>
          <w:t>October 1,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459" w:hanging="180"/>
        <w:spacing w:after="0" w:line="258" w:lineRule="auto"/>
        <w:tabs>
          <w:tab w:leader="none" w:pos="1800" w:val="left"/>
        </w:tabs>
        <w:numPr>
          <w:ilvl w:val="0"/>
          <w:numId w:val="29"/>
        </w:numPr>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 filed</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with the SEC on September 20, 2013</w:t>
        </w:r>
        <w:r>
          <w:rPr>
            <w:rFonts w:ascii="Times New Roman" w:cs="Times New Roman" w:eastAsia="Times New Roman" w:hAnsi="Times New Roman"/>
            <w:sz w:val="18"/>
            <w:szCs w:val="18"/>
            <w:color w:val="000000"/>
          </w:rPr>
          <w:t xml:space="preserve">, as the description therein has been updated and superseded </w:t>
        </w:r>
      </w:hyperlink>
      <w:r>
        <w:rPr>
          <w:rFonts w:ascii="Times New Roman" w:cs="Times New Roman" w:eastAsia="Times New Roman" w:hAnsi="Times New Roman"/>
          <w:sz w:val="18"/>
          <w:szCs w:val="18"/>
          <w:color w:val="0000EE"/>
        </w:rPr>
        <w:t xml:space="preserve">by </w:t>
      </w:r>
      <w:hyperlink r:id="rId89">
        <w:r>
          <w:rPr>
            <w:rFonts w:ascii="Times New Roman" w:cs="Times New Roman" w:eastAsia="Times New Roman" w:hAnsi="Times New Roman"/>
            <w:sz w:val="18"/>
            <w:szCs w:val="18"/>
            <w:color w:val="000000"/>
          </w:rPr>
          <w:t xml:space="preserve">the description of our capital stock contained in </w:t>
        </w:r>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00"/>
          </w:rPr>
          <w:t xml:space="preserve"> to our </w:t>
        </w:r>
        <w:r>
          <w:rPr>
            <w:rFonts w:ascii="Times New Roman" w:cs="Times New Roman" w:eastAsia="Times New Roman" w:hAnsi="Times New Roman"/>
            <w:sz w:val="18"/>
            <w:szCs w:val="18"/>
            <w:u w:val="single" w:color="auto"/>
            <w:color w:val="0000EE"/>
          </w:rPr>
          <w:t>Annual Report on Form 10-K for</w:t>
        </w:r>
      </w:hyperlink>
      <w:r>
        <w:rPr>
          <w:rFonts w:ascii="Times New Roman" w:cs="Times New Roman" w:eastAsia="Times New Roman" w:hAnsi="Times New Roman"/>
          <w:sz w:val="18"/>
          <w:szCs w:val="18"/>
          <w:color w:val="000000"/>
        </w:rPr>
        <w:t xml:space="preserve"> </w:t>
      </w:r>
      <w:hyperlink r:id="rId89">
        <w:r>
          <w:rPr>
            <w:rFonts w:ascii="Times New Roman" w:cs="Times New Roman" w:eastAsia="Times New Roman" w:hAnsi="Times New Roman"/>
            <w:sz w:val="18"/>
            <w:szCs w:val="18"/>
            <w:u w:val="single" w:color="auto"/>
            <w:color w:val="0000EE"/>
          </w:rPr>
          <w:t>the fiscal year ended December 31, 2020, as filed with the SEC on March 4, 2021</w:t>
        </w:r>
        <w:r>
          <w:rPr>
            <w:rFonts w:ascii="Times New Roman" w:cs="Times New Roman" w:eastAsia="Times New Roman" w:hAnsi="Times New Roman"/>
            <w:sz w:val="18"/>
            <w:szCs w:val="18"/>
            <w:color w:val="000000"/>
          </w:rPr>
          <w:t>, and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and reports filed for the purpose of updating such description.</w:t>
      </w:r>
    </w:p>
    <w:p>
      <w:pPr>
        <w:spacing w:after="0" w:line="116" w:lineRule="exact"/>
        <w:rPr>
          <w:rFonts w:ascii="Times New Roman" w:cs="Times New Roman" w:eastAsia="Times New Roman" w:hAnsi="Times New Roman"/>
          <w:sz w:val="18"/>
          <w:szCs w:val="18"/>
          <w:color w:val="0000EE"/>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81"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IVERIC bio, Inc.</w:t>
      </w:r>
    </w:p>
    <w:p>
      <w:pPr>
        <w:spacing w:after="0" w:line="27"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Five Penn Plaza, Suite 2372</w:t>
      </w:r>
    </w:p>
    <w:p>
      <w:pPr>
        <w:spacing w:after="0" w:line="9" w:lineRule="exact"/>
        <w:rPr>
          <w:rFonts w:ascii="Times New Roman" w:cs="Times New Roman" w:eastAsia="Times New Roman" w:hAnsi="Times New Roman"/>
          <w:sz w:val="18"/>
          <w:szCs w:val="18"/>
          <w:color w:val="0000EE"/>
        </w:rPr>
      </w:pPr>
    </w:p>
    <w:p>
      <w:pPr>
        <w:ind w:left="45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(212) 845-8200</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9" w:lineRule="exact"/>
        <w:rPr>
          <w:rFonts w:ascii="Times New Roman" w:cs="Times New Roman" w:eastAsia="Times New Roman" w:hAnsi="Times New Roman"/>
          <w:sz w:val="18"/>
          <w:szCs w:val="18"/>
          <w:color w:val="0000EE"/>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 These forward-looking statements include, but are not limited to, statements about:</w:t>
      </w:r>
    </w:p>
    <w:p>
      <w:pPr>
        <w:spacing w:after="0" w:line="86" w:lineRule="exact"/>
        <w:rPr>
          <w:sz w:val="20"/>
          <w:szCs w:val="20"/>
          <w:color w:val="auto"/>
        </w:rPr>
      </w:pPr>
    </w:p>
    <w:p>
      <w:pPr>
        <w:ind w:left="1800" w:right="95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business plan and strategy, including our goal to deliver treatment options for all stages of age-related macular degeneration (AMD);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results from GATHER1, our completed Phase 3 clinical trial evaluating Zimura for the treatment of Geographic Atrophy (GA) secondary to AMD, on our business and regulatory strategy, including our plans to pursue development of Zimura in intermediate AMD;</w:t>
      </w:r>
    </w:p>
    <w:p>
      <w:pPr>
        <w:spacing w:after="0" w:line="29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GATHER2, our ongoing Phase 3 clinical trial evaluating Zimura for the treatment of GA secondary to AMD, including expectations regarding receipt of top-line data from the trial and regarding patient retention, and expectations regarding the potential for Zimura to receive regulatory approval for the treatment of GA secondary to AMD based on the clinical trial results we have received to date and the future results from the GATHER2 clinical trial and any other trials we or a potential collaborator may conduct;</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for initiating a clinical trial evaluating Zimura for the treatment of intermediate AMD, and for evaluating, obtaining rights to and developing sustained release delivery technologies for Zimura;</w:t>
      </w:r>
    </w:p>
    <w:p>
      <w:pPr>
        <w:spacing w:after="0" w:line="81"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strategy for the potential commercialization of Zimura,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and capabilities for the manufacture of Zimura and our other product candidates, including scale up and validation of the manufacturing process for Zimura drug substance and securing the supply of Zimura drug product and the polyethylene glycol (PEG) starting material for our expected needs;</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expected effects of the COVID-19 pandemic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use of available cash;</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and ability to obtain, additional financing;</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consummate business development transactions, including potential collaboration opportunities for further development and potential commercialization of Zimura and potential collaboration or out-licensing opportunities for further development of IC-100 and IC-200, and in-licenses or other opportunities to acquire rights to additional product candidates or technologies to treat retinal diseases, including sustained release delivery technologies for Zimura;</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71"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investigational new drug applications for, and to obtain marketing approval of our product candidates, and the ability of our product candidates to meet existing or future regulatory standards;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7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number of patients affected by the diseases our product candidates and development programs are intended to treat;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potential market acceptance and clinical utility of our product candidates, if approved;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revenues from future sales of our product candidates, if approved;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personnel and human capital resources;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new governmental laws and regulations;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under the heading “Risk Factors,” under the heading “Summary of Principal Risk Factors” in our Annual Report on Form 10-K for the fiscal year ended December 31, 2020, the risk factors detailed in Item 1A, “Risk Factors” of Part 1 of our Annual Report on Form 10-K and in our SEC reports filed after this prospectus,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27"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IVERIC BIO, INC.</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 diseases including all stages of AMD.</w:t>
      </w:r>
    </w:p>
    <w:p>
      <w:pPr>
        <w:spacing w:after="0" w:line="11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Five Penn Plaza, Suite 2372, New York, NY 10001, and our telephone number is (212) 845-8200.</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costs for potential pre-commercialization or commercialization activities, payment of milestones and other contractual obligations, the acquisition or in-license of other products, product candidates, businesses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the net proceeds of any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that IVERIC bio, Inc. may offer and sell from time to time. We will describe the specific terms of the debt securities and to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IVERIC bio, Inc. excluding, unless the context otherwise requires or as otherwise expressly stated, our subsidiaries.</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334"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 Certain Terms of the Subordinated Debt Securities — Subordination.” The debt securities will be structurally subordinated to all existing and future indebtedness and other liabilities of our subsidiaries unless such subsidiaries expressly guarantee such debt securities.</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w:t>
      </w:r>
    </w:p>
    <w:p>
      <w:pPr>
        <w:spacing w:after="0" w:line="9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7"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the debt securities if other than $1,000 or multiples of $1,000;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17"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15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8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336"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with respect to a particular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09"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Unless we indicate otherwise in a prospectus supplement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68"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16"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10"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No Protection in the Event of a Change in Control. </w:t>
      </w:r>
      <w:r>
        <w:rPr>
          <w:rFonts w:ascii="Times New Roman" w:cs="Times New Roman" w:eastAsia="Times New Roman" w:hAnsi="Times New Roman"/>
          <w:sz w:val="18"/>
          <w:szCs w:val="18"/>
          <w:color w:val="auto"/>
        </w:rPr>
        <w:t>Unless we indicate otherwise in a prospectus</w:t>
      </w:r>
    </w:p>
    <w:p>
      <w:pPr>
        <w:spacing w:after="0" w:line="2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13" w:lineRule="exact"/>
        <w:rPr>
          <w:sz w:val="20"/>
          <w:szCs w:val="20"/>
          <w:color w:val="auto"/>
        </w:rPr>
      </w:pPr>
    </w:p>
    <w:p>
      <w:pPr>
        <w:jc w:val="both"/>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senior debt securities, the following are events of default under the senior indenture with respect to senior debt securities of each series:</w:t>
      </w:r>
    </w:p>
    <w:p>
      <w:pPr>
        <w:spacing w:after="0" w:line="68" w:lineRule="exact"/>
        <w:rPr>
          <w:sz w:val="20"/>
          <w:szCs w:val="20"/>
          <w:color w:val="auto"/>
        </w:rPr>
      </w:pPr>
    </w:p>
    <w:p>
      <w:pPr>
        <w:ind w:left="1800" w:right="5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8" w:lineRule="auto"/>
        <w:rPr>
          <w:sz w:val="20"/>
          <w:szCs w:val="20"/>
          <w:color w:val="auto"/>
        </w:rPr>
      </w:pPr>
      <w:r>
        <w:rPr>
          <w:rFonts w:ascii="Times New Roman" w:cs="Times New Roman" w:eastAsia="Times New Roman" w:hAnsi="Times New Roman"/>
          <w:sz w:val="18"/>
          <w:szCs w:val="18"/>
          <w:color w:val="auto"/>
        </w:rPr>
        <w:t>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1"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81"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328" w:lineRule="exact"/>
        <w:rPr>
          <w:sz w:val="20"/>
          <w:szCs w:val="20"/>
          <w:color w:val="auto"/>
        </w:rPr>
      </w:pPr>
    </w:p>
    <w:p>
      <w:pPr>
        <w:jc w:val="both"/>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33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9"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9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00" w:lineRule="exact"/>
        <w:rPr>
          <w:sz w:val="20"/>
          <w:szCs w:val="20"/>
          <w:color w:val="auto"/>
        </w:rPr>
      </w:pPr>
    </w:p>
    <w:p>
      <w:pPr>
        <w:ind w:left="1260" w:right="7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if:</w:t>
      </w:r>
    </w:p>
    <w:p>
      <w:pPr>
        <w:spacing w:after="0" w:line="53" w:lineRule="exact"/>
        <w:rPr>
          <w:sz w:val="20"/>
          <w:szCs w:val="20"/>
          <w:color w:val="auto"/>
        </w:rPr>
      </w:pPr>
    </w:p>
    <w:p>
      <w:pPr>
        <w:ind w:left="1800" w:right="6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336" w:lineRule="exact"/>
        <w:rPr>
          <w:sz w:val="20"/>
          <w:szCs w:val="20"/>
          <w:color w:val="auto"/>
        </w:rPr>
      </w:pPr>
    </w:p>
    <w:p>
      <w:pPr>
        <w:jc w:val="both"/>
        <w:ind w:left="1260" w:right="579"/>
        <w:spacing w:after="0" w:line="250" w:lineRule="auto"/>
        <w:rPr>
          <w:sz w:val="20"/>
          <w:szCs w:val="20"/>
          <w:color w:val="auto"/>
        </w:rPr>
      </w:pPr>
      <w:r>
        <w:rPr>
          <w:rFonts w:ascii="Times New Roman" w:cs="Times New Roman" w:eastAsia="Times New Roman" w:hAnsi="Times New Roman"/>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09"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18" w:lineRule="exact"/>
        <w:rPr>
          <w:sz w:val="20"/>
          <w:szCs w:val="20"/>
          <w:color w:val="auto"/>
        </w:rPr>
      </w:pPr>
    </w:p>
    <w:p>
      <w:pPr>
        <w:ind w:left="1260" w:right="47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Unless the applicable prospectus supplement provides otherwise, the following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legal defeasance and covenant defeasance will apply to any series of debt securities issued under the indentures.</w:t>
      </w:r>
    </w:p>
    <w:p>
      <w:pPr>
        <w:spacing w:after="0" w:line="320"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any series (called “legal defeasance”) if certain conditions are met, including the following:</w:t>
      </w:r>
    </w:p>
    <w:p>
      <w:pPr>
        <w:spacing w:after="0" w:line="52" w:lineRule="exact"/>
        <w:rPr>
          <w:sz w:val="20"/>
          <w:szCs w:val="20"/>
          <w:color w:val="auto"/>
        </w:rPr>
      </w:pPr>
    </w:p>
    <w:p>
      <w:pPr>
        <w:ind w:left="1800" w:right="459" w:hanging="180"/>
        <w:spacing w:after="0" w:line="257"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295"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63" w:lineRule="auto"/>
        <w:rPr>
          <w:sz w:val="20"/>
          <w:szCs w:val="20"/>
          <w:color w:val="auto"/>
        </w:rPr>
      </w:pPr>
      <w:r>
        <w:rPr>
          <w:rFonts w:ascii="Times New Roman" w:cs="Times New Roman" w:eastAsia="Times New Roman" w:hAnsi="Times New Roman"/>
          <w:sz w:val="18"/>
          <w:szCs w:val="18"/>
          <w:color w:val="auto"/>
        </w:rPr>
        <w:t>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305" w:lineRule="exact"/>
        <w:rPr>
          <w:sz w:val="20"/>
          <w:szCs w:val="20"/>
          <w:color w:val="auto"/>
        </w:rPr>
      </w:pPr>
    </w:p>
    <w:p>
      <w:pPr>
        <w:ind w:left="1800" w:right="8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81"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0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77" w:lineRule="exact"/>
        <w:rPr>
          <w:sz w:val="20"/>
          <w:szCs w:val="20"/>
          <w:color w:val="auto"/>
        </w:rPr>
      </w:pPr>
    </w:p>
    <w:p>
      <w:pPr>
        <w:ind w:left="1800" w:right="479" w:hanging="180"/>
        <w:spacing w:after="0" w:line="257"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295"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10" w:lineRule="exact"/>
        <w:rPr>
          <w:sz w:val="20"/>
          <w:szCs w:val="20"/>
          <w:color w:val="auto"/>
        </w:rPr>
      </w:pPr>
    </w:p>
    <w:p>
      <w:pPr>
        <w:ind w:left="1260" w:right="8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securities of any series without the consent of any holder:</w:t>
      </w:r>
    </w:p>
    <w:p>
      <w:pPr>
        <w:spacing w:after="0" w:line="52" w:lineRule="exact"/>
        <w:rPr>
          <w:sz w:val="20"/>
          <w:szCs w:val="20"/>
          <w:color w:val="auto"/>
        </w:rPr>
      </w:pPr>
    </w:p>
    <w:p>
      <w:pPr>
        <w:ind w:left="1800" w:right="4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305" w:lineRule="exact"/>
        <w:rPr>
          <w:rFonts w:ascii="Times New Roman" w:cs="Times New Roman" w:eastAsia="Times New Roman" w:hAnsi="Times New Roman"/>
          <w:sz w:val="18"/>
          <w:szCs w:val="18"/>
          <w:color w:val="auto"/>
        </w:rPr>
      </w:pPr>
    </w:p>
    <w:p>
      <w:pPr>
        <w:jc w:val="both"/>
        <w:ind w:left="1800" w:right="7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w:t>
      </w:r>
    </w:p>
    <w:p>
      <w:pPr>
        <w:ind w:left="1800" w:right="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2"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0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9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40"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4"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58"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other securities or property in accordance with the terms of the senior debt securities; or</w:t>
      </w:r>
    </w:p>
    <w:p>
      <w:pPr>
        <w:spacing w:after="0" w:line="26"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0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 xml:space="preserve">Notice of Redemption. </w:t>
      </w:r>
      <w:r>
        <w:rPr>
          <w:rFonts w:ascii="Times New Roman" w:cs="Times New Roman" w:eastAsia="Times New Roman" w:hAnsi="Times New Roman"/>
          <w:sz w:val="18"/>
          <w:szCs w:val="18"/>
          <w:color w:val="auto"/>
        </w:rPr>
        <w:t>Notice of any redemption of senior debt securities will be mailed at least</w:t>
      </w:r>
    </w:p>
    <w:p>
      <w:pPr>
        <w:spacing w:after="0" w:line="29"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2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0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We will describe the terms upon which senior debt securities may be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32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or Directors. </w:t>
      </w:r>
      <w:r>
        <w:rPr>
          <w:rFonts w:ascii="Times New Roman" w:cs="Times New Roman" w:eastAsia="Times New Roman" w:hAnsi="Times New Roman"/>
          <w:sz w:val="18"/>
          <w:szCs w:val="18"/>
          <w:color w:val="auto"/>
        </w:rPr>
        <w:t>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32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156"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Unclaimed Funds. </w:t>
      </w:r>
      <w:r>
        <w:rPr>
          <w:rFonts w:ascii="Times New Roman" w:cs="Times New Roman" w:eastAsia="Times New Roman" w:hAnsi="Times New Roman"/>
          <w:sz w:val="18"/>
          <w:szCs w:val="18"/>
          <w:color w:val="auto"/>
        </w:rPr>
        <w:t>All funds deposited with the trustee or any paying agent for the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09"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internal laws of the State of New York.</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4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subordinated debt securities, the terms of the subordinated indenture and subordinated debt securities are identical in all material respects to the terms of the senior indenture and senior debt securities.</w:t>
      </w:r>
    </w:p>
    <w:p>
      <w:pPr>
        <w:spacing w:after="0" w:line="9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9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329"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8"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71"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08"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by-laws, which are filed as exhibits to the registration statement of which this prospectus forms a part, for the provisions that are important to you.</w:t>
      </w:r>
    </w:p>
    <w:p>
      <w:pPr>
        <w:spacing w:after="0" w:line="11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$0.001 par value per share, and 5,000,000 shares of our preferred stock, $0.001 par value per share.</w:t>
      </w:r>
    </w:p>
    <w:p>
      <w:pPr>
        <w:spacing w:after="0" w:line="8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As of October 19, 2021, we had issued and outstanding 104,246,736 shares of our common stock, and no shares of preferred stock were outstanding.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Annual Meeting. </w:t>
      </w:r>
      <w:r>
        <w:rPr>
          <w:rFonts w:ascii="Times New Roman" w:cs="Times New Roman" w:eastAsia="Times New Roman" w:hAnsi="Times New Roman"/>
          <w:sz w:val="18"/>
          <w:szCs w:val="18"/>
          <w:color w:val="auto"/>
        </w:rPr>
        <w:t>Annual meetings of our stockholders are held on the date designated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only the board of directors, the Chairman of the board of directors or the Chief Executive Officer. Except as may be otherwise provided by applicable law, our certificate of incorporation or our by-laws, all elections of directors shall be decided by a plurality of the votes cast by the stockholders entitled to vote on the election, and all other questions shall be decided by the vote of the holders of shares of stock having a majority in voting power of the votes cast by the holders of all of the shares of stock present or represented at the meeting and voting affirmatively or negatively on such matter at a duly held meeting of stockholders at which a quorum is present.</w:t>
      </w:r>
    </w:p>
    <w:p>
      <w:pPr>
        <w:spacing w:after="0" w:line="314"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common stock is entitled to one vote for each share held of record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to be voted upon by stockholders.</w:t>
      </w:r>
    </w:p>
    <w:p>
      <w:pPr>
        <w:spacing w:after="0" w:line="77" w:lineRule="exact"/>
        <w:rPr>
          <w:sz w:val="20"/>
          <w:szCs w:val="20"/>
          <w:color w:val="auto"/>
        </w:rPr>
      </w:pPr>
    </w:p>
    <w:p>
      <w:pPr>
        <w:jc w:val="both"/>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Subject to the rights, powers and preferences of any outstanding preferred stock, and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provided by law or in our certificate of incorporation, dividends may be declared and paid or set aside for payment on the common stock out of legally available assets or funds when and as declared by the board of directors.</w:t>
      </w:r>
    </w:p>
    <w:p>
      <w:pPr>
        <w:spacing w:after="0" w:line="106" w:lineRule="exact"/>
        <w:rPr>
          <w:sz w:val="20"/>
          <w:szCs w:val="20"/>
          <w:color w:val="auto"/>
        </w:rPr>
      </w:pPr>
    </w:p>
    <w:p>
      <w:pPr>
        <w:jc w:val="both"/>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Subject to the rights, powers and preferences of any outstanding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event of our liquidation or dissolution, our net assets will be distributed pro rata to the holders of our common stock.</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the common stock have no right to:</w:t>
      </w:r>
    </w:p>
    <w:p>
      <w:pPr>
        <w:spacing w:after="0" w:line="119"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stock into any other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stock redeemed;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additional stock;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their proportionate ownership interest.</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common stock does not have cumulative voting rights. Holders of shares of the common stock are not required to make additional capital contributions.</w:t>
      </w:r>
    </w:p>
    <w:p>
      <w:pPr>
        <w:spacing w:after="0" w:line="93"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Computershare Trust Company, N.A. is transfer agent and registrar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common stock.</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32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4"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61"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158"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1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12"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rights and rights upon our liquidation, dissolution or winding up of our affairs, rank:</w:t>
      </w:r>
    </w:p>
    <w:p>
      <w:pPr>
        <w:spacing w:after="0" w:line="53" w:lineRule="exact"/>
        <w:rPr>
          <w:sz w:val="20"/>
          <w:szCs w:val="20"/>
          <w:color w:val="auto"/>
        </w:rPr>
      </w:pPr>
    </w:p>
    <w:p>
      <w:pPr>
        <w:ind w:left="1800" w:right="65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56"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16"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32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0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0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33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323" w:lineRule="exact"/>
        <w:rPr>
          <w:sz w:val="20"/>
          <w:szCs w:val="20"/>
          <w:color w:val="auto"/>
        </w:rPr>
      </w:pPr>
    </w:p>
    <w:p>
      <w:pPr>
        <w:jc w:val="both"/>
        <w:ind w:left="1260" w:right="4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mandatory redemption or redemption at our option, as a whole or in part, in each case upon the terms, at the times and at the redemption prices set forth in such prospectus supplement.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81" w:lineRule="exact"/>
        <w:rPr>
          <w:sz w:val="20"/>
          <w:szCs w:val="20"/>
          <w:color w:val="auto"/>
        </w:rPr>
      </w:pPr>
    </w:p>
    <w:p>
      <w:pPr>
        <w:ind w:left="1800" w:right="99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04" w:lineRule="exact"/>
        <w:rPr>
          <w:sz w:val="20"/>
          <w:szCs w:val="20"/>
          <w:color w:val="auto"/>
        </w:rPr>
      </w:pPr>
    </w:p>
    <w:p>
      <w:pPr>
        <w:ind w:left="1800" w:right="47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0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10" w:lineRule="exact"/>
        <w:rPr>
          <w:sz w:val="20"/>
          <w:szCs w:val="20"/>
          <w:color w:val="auto"/>
        </w:rPr>
      </w:pPr>
    </w:p>
    <w:p>
      <w:pPr>
        <w:jc w:val="both"/>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61"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8"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indicated in the applicable prospectus supplement.</w:t>
      </w:r>
    </w:p>
    <w:p>
      <w:pPr>
        <w:spacing w:after="0" w:line="79"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325"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applicable prospectus supplement.</w:t>
      </w:r>
    </w:p>
    <w:p>
      <w:pPr>
        <w:spacing w:after="0" w:line="143"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and Delaware Law That May Have Anti-Takeover Effects</w:t>
      </w:r>
    </w:p>
    <w:p>
      <w:pPr>
        <w:spacing w:after="0" w:line="9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1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Staggered Board; Removal of Directors. </w:t>
      </w:r>
      <w:r>
        <w:rPr>
          <w:rFonts w:ascii="Times New Roman" w:cs="Times New Roman" w:eastAsia="Times New Roman" w:hAnsi="Times New Roman"/>
          <w:sz w:val="18"/>
          <w:szCs w:val="18"/>
          <w:color w:val="auto"/>
        </w:rPr>
        <w:t>Our certificate of incorporation and our bylaws divide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into three classes with staggered three-year terms. In addition, our certificate of incorporation and our bylaws provide that directors may be removed only for cause and only by the affirmative vote of the holders of 75% of our shares of capital stock present in person or by proxy and entitled to vote. Under our certificate of incorporation and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Advance Notice Requirements for Stockholder Proposals and Director Nominations. </w:t>
      </w:r>
      <w:r>
        <w:rPr>
          <w:rFonts w:ascii="Times New Roman" w:cs="Times New Roman" w:eastAsia="Times New Roman" w:hAnsi="Times New Roman"/>
          <w:sz w:val="18"/>
          <w:szCs w:val="18"/>
          <w:color w:val="auto"/>
        </w:rPr>
        <w:t>Our certificate of incorporation and our bylaws provide that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the chairman of our board of directors, our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it acquired a majority of our outstanding voting stock, it would be able to take action as a stockholder, such as electing new directors or approving a merger, only at a duly called stockholders meeting and not by written consent.</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Super- Majority Voting. </w:t>
      </w:r>
      <w:r>
        <w:rPr>
          <w:rFonts w:ascii="Times New Roman" w:cs="Times New Roman" w:eastAsia="Times New Roman" w:hAnsi="Times New Roman"/>
          <w:sz w:val="18"/>
          <w:szCs w:val="18"/>
          <w:color w:val="auto"/>
        </w:rPr>
        <w:t>The General Corporation Law of the State of Delaware, which we refer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Our authorized but unissued shares of our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 </w:t>
      </w:r>
      <w:r>
        <w:rPr>
          <w:rFonts w:ascii="Times New Roman" w:cs="Times New Roman" w:eastAsia="Times New Roman" w:hAnsi="Times New Roman"/>
          <w:sz w:val="18"/>
          <w:szCs w:val="18"/>
          <w:color w:val="auto"/>
        </w:rPr>
        <w:t>We are subject to Section 203 of the DGCL (“Section 203”),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w:t>
      </w:r>
    </w:p>
    <w:p>
      <w:pPr>
        <w:spacing w:after="0" w:line="1" w:lineRule="exact"/>
        <w:rPr>
          <w:sz w:val="20"/>
          <w:szCs w:val="20"/>
          <w:color w:val="auto"/>
        </w:rPr>
      </w:pPr>
    </w:p>
    <w:p>
      <w:pPr>
        <w:ind w:left="1260" w:right="1059"/>
        <w:spacing w:after="0" w:line="243" w:lineRule="auto"/>
        <w:rPr>
          <w:sz w:val="20"/>
          <w:szCs w:val="20"/>
          <w:color w:val="auto"/>
        </w:rPr>
      </w:pPr>
      <w:r>
        <w:rPr>
          <w:rFonts w:ascii="Times New Roman" w:cs="Times New Roman" w:eastAsia="Times New Roman" w:hAnsi="Times New Roman"/>
          <w:sz w:val="18"/>
          <w:szCs w:val="18"/>
          <w:color w:val="auto"/>
        </w:rPr>
        <w:t>three years after the date that such stockholder became an interested stockholder, with the following exceptions:</w:t>
      </w:r>
    </w:p>
    <w:p>
      <w:pPr>
        <w:spacing w:after="0" w:line="74" w:lineRule="exact"/>
        <w:rPr>
          <w:sz w:val="20"/>
          <w:szCs w:val="20"/>
          <w:color w:val="auto"/>
        </w:rPr>
      </w:pPr>
    </w:p>
    <w:p>
      <w:pPr>
        <w:ind w:left="1800" w:right="53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3"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business combinations to include the following:</w:t>
      </w:r>
    </w:p>
    <w:p>
      <w:pPr>
        <w:spacing w:after="0" w:line="104"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transfer, pledge or other disposition of 10% or more of the assets of the corporation to or with the interested stockholder;</w:t>
      </w:r>
    </w:p>
    <w:p>
      <w:pPr>
        <w:spacing w:after="0" w:line="40"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Directors’ Liability</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295"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stock repurchases or other distributions; or</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0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our directors and officers arising out of claims based on acts or omissions in their capacities as directors or officers. In addition, we have entered into indemnification agreements with our directors and executive officers. These indemnification agreements may require us, among other things, to indemnify each such director or executive officer, as applicable, for some expenses, including attorneys’ fees, judgments, fines and settlement amounts incurred by him or her in any action or proceeding arising out of his or her service as one of our directors or executive officers, as applicable.</w:t>
      </w:r>
    </w:p>
    <w:p>
      <w:pPr>
        <w:spacing w:after="0" w:line="121"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w:t>
      </w:r>
    </w:p>
    <w:p>
      <w:pPr>
        <w:spacing w:after="0" w:line="1"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1" w:lineRule="exact"/>
        <w:rPr>
          <w:sz w:val="20"/>
          <w:szCs w:val="20"/>
          <w:color w:val="auto"/>
        </w:rPr>
      </w:pPr>
    </w:p>
    <w:p>
      <w:pPr>
        <w:ind w:left="1800" w:right="5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w:t>
      </w:r>
    </w:p>
    <w:p>
      <w:pPr>
        <w:spacing w:after="0" w:line="124"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w:t>
      </w:r>
    </w:p>
    <w:p>
      <w:pPr>
        <w:spacing w:after="0" w:line="75"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stockholders entitled to receive the rights;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equity securities that may be purchased upon exercise of each right;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rights may be exercised and when they will expire;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required to exercise the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equity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arrangement entered into by us in connection with the offering of subscription rights;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of the subscription rights, including the terms, procedures and limitations relating to the exercise of the subscription rights;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include “oversubscription rights” so that the holder may purchase more securities if other holders do not purchase their full allotments;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intend to sell the shares of equity securities that are not purchased in the rights offering to an underwriter or other purchaser under a contractual “standby” commitment or other arrangement; and</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United States federal income tax consequences.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19"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10"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32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34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296"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72" w:lineRule="exact"/>
        <w:rPr>
          <w:sz w:val="20"/>
          <w:szCs w:val="20"/>
          <w:color w:val="auto"/>
        </w:rPr>
      </w:pPr>
    </w:p>
    <w:p>
      <w:pPr>
        <w:ind w:left="1800" w:right="5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the securities constituting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debt securities, common stock, preferred stock or warrants constituting the unit;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subscription right, depositary share and unit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subscription rights, depositary shares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issue the debt securities of a particular series, warrants, subscription rights, depositary shares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1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subscription rights agreement, deposit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warrant agreement, subscription rights agreement, deposit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warrant, agreement, subscription rights agreement, deposit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warrant agreement, subscription rights agreement, deposit agreement or unit agreement, the depositary for the global security would authorize the participants holding the relevant beneficial interests to give or take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that action, and the participants would authorize beneficial owners owning through them to give or take that action or would otherwise act upon the instructions of beneficial owners holding through them.</w:t>
      </w:r>
    </w:p>
    <w:p>
      <w:pPr>
        <w:spacing w:after="0" w:line="94"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subscription rights, depositary shares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17" w:lineRule="exact"/>
        <w:rPr>
          <w:sz w:val="20"/>
          <w:szCs w:val="20"/>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0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31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4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Ernst &amp; Young LLP, independent registered public accounting firm, has audited our consolidated financial statements included in our </w:t>
      </w:r>
      <w:hyperlink r:id="rId89">
        <w:r>
          <w:rPr>
            <w:rFonts w:ascii="Times New Roman" w:cs="Times New Roman" w:eastAsia="Times New Roman" w:hAnsi="Times New Roman"/>
            <w:sz w:val="18"/>
            <w:szCs w:val="18"/>
            <w:u w:val="single" w:color="auto"/>
            <w:color w:val="0000EE"/>
          </w:rPr>
          <w:t>Annual Report on Form 10-K for the year ended December 31, 2020</w:t>
        </w:r>
      </w:hyperlink>
      <w:r>
        <w:rPr>
          <w:rFonts w:ascii="Times New Roman" w:cs="Times New Roman" w:eastAsia="Times New Roman" w:hAnsi="Times New Roman"/>
          <w:sz w:val="18"/>
          <w:szCs w:val="18"/>
          <w:color w:val="auto"/>
        </w:rPr>
        <w:t>, and the effectiveness of our internal control over financial reporting as of December 31, 2020, as set forth in their reports, which are incorporated by reference in this prospectus and elsewhere in the registration statement. Our consolidated financial statements are incorporated by reference in reliance on Ernst &amp;Young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IVERIC bio, Inc.</w:t>
      </w:r>
    </w:p>
    <w:p>
      <w:pPr>
        <w:spacing w:after="0" w:line="2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13,350,000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855980</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225425</wp:posOffset>
            </wp:positionV>
            <wp:extent cx="12344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i w:val="1"/>
          <w:iCs w:val="1"/>
          <w:color w:val="auto"/>
        </w:rPr>
        <w:t>Book-Running Managers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99"/>
        <w:spacing w:after="0"/>
        <w:tabs>
          <w:tab w:leader="none" w:pos="5300" w:val="left"/>
          <w:tab w:leader="none" w:pos="2500" w:val="left"/>
          <w:tab w:leader="none" w:pos="680" w:val="left"/>
        </w:tabs>
        <w:rPr>
          <w:sz w:val="20"/>
          <w:szCs w:val="20"/>
          <w:color w:val="auto"/>
        </w:rPr>
      </w:pPr>
      <w:r>
        <w:rPr>
          <w:rFonts w:ascii="Times New Roman" w:cs="Times New Roman" w:eastAsia="Times New Roman" w:hAnsi="Times New Roman"/>
          <w:sz w:val="32"/>
          <w:szCs w:val="32"/>
          <w:b w:val="1"/>
          <w:bCs w:val="1"/>
          <w:color w:val="auto"/>
        </w:rPr>
        <w:t>Morgan Stanley</w:t>
      </w:r>
      <w:r>
        <w:rPr>
          <w:sz w:val="20"/>
          <w:szCs w:val="20"/>
          <w:color w:val="auto"/>
        </w:rPr>
        <w:tab/>
      </w:r>
      <w:r>
        <w:rPr>
          <w:rFonts w:ascii="Times New Roman" w:cs="Times New Roman" w:eastAsia="Times New Roman" w:hAnsi="Times New Roman"/>
          <w:sz w:val="32"/>
          <w:szCs w:val="32"/>
          <w:b w:val="1"/>
          <w:bCs w:val="1"/>
          <w:color w:val="auto"/>
        </w:rPr>
        <w:t>BofA Securities</w:t>
      </w:r>
      <w:r>
        <w:rPr>
          <w:sz w:val="20"/>
          <w:szCs w:val="20"/>
          <w:color w:val="auto"/>
        </w:rPr>
        <w:tab/>
      </w:r>
      <w:r>
        <w:rPr>
          <w:rFonts w:ascii="Times New Roman" w:cs="Times New Roman" w:eastAsia="Times New Roman" w:hAnsi="Times New Roman"/>
          <w:sz w:val="32"/>
          <w:szCs w:val="32"/>
          <w:b w:val="1"/>
          <w:bCs w:val="1"/>
          <w:color w:val="auto"/>
        </w:rPr>
        <w:t>Cowen</w:t>
      </w:r>
      <w:r>
        <w:rPr>
          <w:sz w:val="20"/>
          <w:szCs w:val="20"/>
          <w:color w:val="auto"/>
        </w:rPr>
        <w:tab/>
      </w:r>
      <w:r>
        <w:rPr>
          <w:rFonts w:ascii="Times New Roman" w:cs="Times New Roman" w:eastAsia="Times New Roman" w:hAnsi="Times New Roman"/>
          <w:sz w:val="31"/>
          <w:szCs w:val="31"/>
          <w:b w:val="1"/>
          <w:bCs w:val="1"/>
          <w:color w:val="auto"/>
        </w:rPr>
        <w:t>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233680</wp:posOffset>
            </wp:positionV>
            <wp:extent cx="123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i w:val="1"/>
          <w:iCs w:val="1"/>
          <w:color w:val="auto"/>
        </w:rPr>
        <w:t>Lead Manager</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9"/>
          <w:szCs w:val="29"/>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1148715</wp:posOffset>
            </wp:positionV>
            <wp:extent cx="5212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Exhibit 107</w:t>
            </w: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8"/>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424(b)(5)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(Form Type)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IVERIC bio,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10"/>
          </w:tcPr>
          <w:p>
            <w:pPr>
              <w:jc w:val="center"/>
              <w:ind w:left="83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8"/>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Table 1—Newly Registered Securities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80" w:type="dxa"/>
            <w:vAlign w:val="bottom"/>
          </w:tcPr>
          <w:p>
            <w:pPr>
              <w:spacing w:after="0"/>
              <w:rPr>
                <w:sz w:val="23"/>
                <w:szCs w:val="23"/>
                <w:color w:val="auto"/>
              </w:rPr>
            </w:pPr>
          </w:p>
        </w:tc>
        <w:tc>
          <w:tcPr>
            <w:tcW w:w="1320" w:type="dxa"/>
            <w:vAlign w:val="bottom"/>
            <w:gridSpan w:val="2"/>
          </w:tcPr>
          <w:p>
            <w:pPr>
              <w:jc w:val="right"/>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7"/>
              </w:rPr>
              <w:t>Registered</w:t>
            </w:r>
            <w:r>
              <w:rPr>
                <w:rFonts w:ascii="Times New Roman" w:cs="Times New Roman" w:eastAsia="Times New Roman" w:hAnsi="Times New Roman"/>
                <w:sz w:val="29"/>
                <w:szCs w:val="29"/>
                <w:b w:val="1"/>
                <w:bCs w:val="1"/>
                <w:color w:val="auto"/>
                <w:w w:val="97"/>
                <w:vertAlign w:val="superscript"/>
              </w:rPr>
              <w:t>(1)</w:t>
            </w:r>
          </w:p>
        </w:tc>
        <w:tc>
          <w:tcPr>
            <w:tcW w:w="100" w:type="dxa"/>
            <w:vAlign w:val="bottom"/>
          </w:tcPr>
          <w:p>
            <w:pPr>
              <w:spacing w:after="0"/>
              <w:rPr>
                <w:sz w:val="23"/>
                <w:szCs w:val="2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(1)</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0" w:type="dxa"/>
            <w:vAlign w:val="bottom"/>
          </w:tcPr>
          <w:p>
            <w:pPr>
              <w:spacing w:after="0"/>
              <w:rPr>
                <w:sz w:val="23"/>
                <w:szCs w:val="23"/>
                <w:color w:val="auto"/>
              </w:rPr>
            </w:pPr>
          </w:p>
        </w:tc>
        <w:tc>
          <w:tcPr>
            <w:tcW w:w="980" w:type="dxa"/>
            <w:vAlign w:val="bottom"/>
            <w:gridSpan w:val="3"/>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2"/>
              </w:rPr>
              <w:t>of Fee</w:t>
            </w:r>
            <w:r>
              <w:rPr>
                <w:rFonts w:ascii="Times New Roman" w:cs="Times New Roman" w:eastAsia="Times New Roman" w:hAnsi="Times New Roman"/>
                <w:sz w:val="29"/>
                <w:szCs w:val="29"/>
                <w:b w:val="1"/>
                <w:bCs w:val="1"/>
                <w:color w:val="auto"/>
                <w:w w:val="92"/>
                <w:vertAlign w:val="superscript"/>
              </w:rPr>
              <w:t>(2)</w:t>
            </w:r>
          </w:p>
        </w:tc>
        <w:tc>
          <w:tcPr>
            <w:tcW w:w="0" w:type="dxa"/>
            <w:vAlign w:val="bottom"/>
          </w:tcPr>
          <w:p>
            <w:pPr>
              <w:spacing w:after="0"/>
              <w:rPr>
                <w:sz w:val="1"/>
                <w:szCs w:val="1"/>
                <w:color w:val="auto"/>
              </w:rPr>
            </w:pPr>
          </w:p>
        </w:tc>
      </w:tr>
      <w:tr>
        <w:trPr>
          <w:trHeight w:val="191"/>
        </w:trPr>
        <w:tc>
          <w:tcPr>
            <w:tcW w:w="17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Fees to Be Paid</w:t>
            </w:r>
          </w:p>
        </w:tc>
        <w:tc>
          <w:tcPr>
            <w:tcW w:w="680" w:type="dxa"/>
            <w:vAlign w:val="bottom"/>
            <w:tcBorders>
              <w:top w:val="single" w:sz="8" w:color="auto"/>
            </w:tcBorders>
            <w:shd w:val="clear" w:color="auto" w:fill="CCEEFF"/>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Rule 457(r)</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$0.001 par value</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per share</w:t>
            </w: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$ 345,431,250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0.00011020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38,066.53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Previously</w:t>
            </w:r>
          </w:p>
        </w:tc>
        <w:tc>
          <w:tcPr>
            <w:tcW w:w="9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56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9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Paid</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5"/>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Carry Forward</w:t>
            </w:r>
          </w:p>
        </w:tc>
        <w:tc>
          <w:tcPr>
            <w:tcW w:w="9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56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9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1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345,431,250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w:t>
            </w:r>
            <w:r>
              <w:rPr>
                <w:rFonts w:ascii="Times New Roman" w:cs="Times New Roman" w:eastAsia="Times New Roman" w:hAnsi="Times New Roman"/>
                <w:sz w:val="18"/>
                <w:szCs w:val="18"/>
                <w:u w:val="single" w:color="auto"/>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Total Fee Offsets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Net Fee Due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38,066.53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exercise in full of the underwriters’ option to purchase up to 2,002,500 additional shares of Common Stock.</w:t>
      </w:r>
    </w:p>
    <w:p>
      <w:pPr>
        <w:spacing w:after="0" w:line="22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This “Calculation of Filing Fee Tables” table shall be deemed to update the “Calculation of Registration Fee” table in the registrant’s Registration Statement on Form S-3 (File No. 333- 260406) in accordance with Rule 456(b) and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lvl w:ilvl="1">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Roman"/>
      <w:start w:val="1"/>
    </w:lvl>
  </w:abstractNum>
  <w:abstractNum w:abstractNumId="20">
    <w:nsid w:val="2A487CB0"/>
    <w:multiLevelType w:val="hybridMultilevel"/>
    <w:lvl w:ilvl="0">
      <w:lvlJc w:val="left"/>
      <w:lvlText w:val="%1)"/>
      <w:numFmt w:val="lowerLetter"/>
      <w:start w:val="10"/>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1"/>
    </w:lvl>
  </w:abstractNum>
  <w:abstractNum w:abstractNumId="23">
    <w:nsid w:val="2CD89A32"/>
    <w:multiLevelType w:val="hybridMultilevel"/>
    <w:lvl w:ilvl="0">
      <w:lvlJc w:val="left"/>
      <w:lvlText w:val="(%1)"/>
      <w:numFmt w:val="lowerRoman"/>
      <w:start w:val="1"/>
    </w:lvl>
  </w:abstractNum>
  <w:abstractNum w:abstractNumId="24">
    <w:nsid w:val="57E4CCAF"/>
    <w:multiLevelType w:val="hybridMultilevel"/>
    <w:lvl w:ilvl="0">
      <w:lvlJc w:val="left"/>
      <w:lvlText w:val="(%1)"/>
      <w:numFmt w:val="lowerRoman"/>
      <w:start w:val="2"/>
    </w:lvl>
  </w:abstractNum>
  <w:abstractNum w:abstractNumId="25">
    <w:nsid w:val="7A6D8D3C"/>
    <w:multiLevelType w:val="hybridMultilevel"/>
    <w:lvl w:ilvl="0">
      <w:lvlJc w:val="left"/>
      <w:lvlText w:val="(%1)"/>
      <w:numFmt w:val="lowerRoman"/>
      <w:start w:val="3"/>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9"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42" Type="http://schemas.openxmlformats.org/officeDocument/2006/relationships/hyperlink" Target="http://www.sec.gov/ix?doc=/Archives/edgar/data/1410939/000141093922000108/isee-20220930.htm" TargetMode="External"/><Relationship Id="rId46" Type="http://schemas.openxmlformats.org/officeDocument/2006/relationships/hyperlink" Target="http://www.sec.gov/ix?doc=/Archives/edgar/data/1410939/000141093922000015/isee-20211231.htm" TargetMode="External"/><Relationship Id="rId47" Type="http://schemas.openxmlformats.org/officeDocument/2006/relationships/hyperlink" Target="http://www.sec.gov/ix?doc=/Archives/edgar/data/1410939/000141093922000059/isee-20220331.htm" TargetMode="External"/><Relationship Id="rId48" Type="http://schemas.openxmlformats.org/officeDocument/2006/relationships/hyperlink" Target="https://www.sec.gov/ix?doc=/Archives/edgar/data/1410939/000141093922000090/isee-20220630.htm" TargetMode="External"/><Relationship Id="rId49" Type="http://schemas.openxmlformats.org/officeDocument/2006/relationships/hyperlink" Target="https://www.sec.gov/ix?doc=/Archives/edgar/data/1410939/000141093922000108/isee-20220930.htm" TargetMode="External"/><Relationship Id="rId70" Type="http://schemas.openxmlformats.org/officeDocument/2006/relationships/hyperlink" Target="http://www.sec.gov/Archives/edgar/data/1410939/000141093922000037/a2022proxystatementforannu.htm" TargetMode="External"/><Relationship Id="rId71" Type="http://schemas.openxmlformats.org/officeDocument/2006/relationships/hyperlink" Target="http://www.sec.gov/ix?doc=/Archives/edgar/data/1410939/000141093922000090/isee-20220630.htm" TargetMode="External"/><Relationship Id="rId72" Type="http://schemas.openxmlformats.org/officeDocument/2006/relationships/hyperlink" Target="http://www.sec.gov/ix?doc=/Archives/edgar/data/1410939/000141093922000004/isee-20220111.htm" TargetMode="External"/><Relationship Id="rId73" Type="http://schemas.openxmlformats.org/officeDocument/2006/relationships/hyperlink" Target="http://www.sec.gov/ix?doc=/Archives/edgar/data/1410939/000141093922000005/isee-20220105.htm" TargetMode="External"/><Relationship Id="rId74" Type="http://schemas.openxmlformats.org/officeDocument/2006/relationships/hyperlink" Target="http://www.sec.gov/ix?doc=/Archives/edgar/data/1410939/000141093922000027/isee-20220325.htm" TargetMode="External"/><Relationship Id="rId75" Type="http://schemas.openxmlformats.org/officeDocument/2006/relationships/hyperlink" Target="http://www.sec.gov/ix?doc=/Archives/edgar/data/1410939/000141093922000042/isee-20220404.htm" TargetMode="External"/><Relationship Id="rId76" Type="http://schemas.openxmlformats.org/officeDocument/2006/relationships/hyperlink" Target="http://www.sec.gov/ix?doc=/Archives/edgar/data/1410939/000141093922000075/isee-20220512.htm" TargetMode="External"/><Relationship Id="rId77" Type="http://schemas.openxmlformats.org/officeDocument/2006/relationships/hyperlink" Target="http://www.sec.gov/ix?doc=/Archives/edgar/data/1410939/000141093922000080/isee-20220630.htm" TargetMode="External"/><Relationship Id="rId78" Type="http://schemas.openxmlformats.org/officeDocument/2006/relationships/hyperlink" Target="http://www.sec.gov/ix?doc=/Archives/edgar/data/1410939/000141093922000087/isee-20220726.htm" TargetMode="External"/><Relationship Id="rId80" Type="http://schemas.openxmlformats.org/officeDocument/2006/relationships/hyperlink" Target="http://www.sec.gov/ix?doc=/Archives/edgar/data/1410939/000141093922000114/isee-20221117.htm" TargetMode="External"/><Relationship Id="rId81" Type="http://schemas.openxmlformats.org/officeDocument/2006/relationships/hyperlink" Target="http://www.sec.gov/ix?doc=/Archives/edgar/data/1410939/000141093922000118/isee-20221128.htm" TargetMode="External"/><Relationship Id="rId82" Type="http://schemas.openxmlformats.org/officeDocument/2006/relationships/hyperlink" Target="http://www.sec.gov/Archives/edgar/data/1410939/000119312513373331/d599239d8a12b.htm" TargetMode="External"/><Relationship Id="rId89" Type="http://schemas.openxmlformats.org/officeDocument/2006/relationships/hyperlink" Target="http://www.sec.gov/ix?doc=/Archives/edgar/data/1410939/000141093921000007/opht-20201231.htm" TargetMode="External"/><Relationship Id="rId90" Type="http://schemas.openxmlformats.org/officeDocument/2006/relationships/hyperlink" Target="http://www.sec.gov/Archives/edgar/data/1410939/000141093921000011/proxystatementfor2021annua.htm" TargetMode="External"/><Relationship Id="rId91" Type="http://schemas.openxmlformats.org/officeDocument/2006/relationships/hyperlink" Target="http://www.sec.gov/ix?doc=/Archives/edgar/data/1410939/000141093921000018/opht-20210331.htm" TargetMode="External"/><Relationship Id="rId92" Type="http://schemas.openxmlformats.org/officeDocument/2006/relationships/hyperlink" Target="http://www.sec.gov/ix?doc=/Archives/edgar/data/1410939/000141093921000038/isee-20210630.htm" TargetMode="External"/><Relationship Id="rId93" Type="http://schemas.openxmlformats.org/officeDocument/2006/relationships/hyperlink" Target="http://www.sec.gov/ix?doc=/Archives/edgar/data/1410939/000141093921000002/isee-20210111.htm" TargetMode="External"/><Relationship Id="rId94" Type="http://schemas.openxmlformats.org/officeDocument/2006/relationships/hyperlink" Target="http://www.sec.gov/ix?doc=/Archives/edgar/data/1410939/000110465921046289/tm2112090d1_8k.htm" TargetMode="External"/><Relationship Id="rId95" Type="http://schemas.openxmlformats.org/officeDocument/2006/relationships/hyperlink" Target="http://www.sec.gov/ix?doc=/Archives/edgar/data/0001410939/000141093921000016/isee-20210501.htm" TargetMode="External"/><Relationship Id="rId96" Type="http://schemas.openxmlformats.org/officeDocument/2006/relationships/hyperlink" Target="http://www.sec.gov/ix?doc=/Archives/edgar/data/1410939/000141093921000021/isee-20210519.htm" TargetMode="External"/><Relationship Id="rId97" Type="http://schemas.openxmlformats.org/officeDocument/2006/relationships/hyperlink" Target="http://www.sec.gov/ix?doc=/Archives/edgar/data/1410939/000141093921000027/isee-20210618.htm" TargetMode="External"/><Relationship Id="rId98" Type="http://schemas.openxmlformats.org/officeDocument/2006/relationships/hyperlink" Target="http://www.sec.gov/ix?doc=/Archives/edgar/data/1410939/000141093921000029/isee-20210706.htm" TargetMode="External"/><Relationship Id="rId99" Type="http://schemas.openxmlformats.org/officeDocument/2006/relationships/hyperlink" Target="http://www.sec.gov/ix?doc=/Archives/edgar/data/1410939/000141093921000032/isee-20210712.htm" TargetMode="External"/><Relationship Id="rId100" Type="http://schemas.openxmlformats.org/officeDocument/2006/relationships/hyperlink" Target="http://www.sec.gov/ix?doc=/Archives/edgar/data/1410939/000110465921092154/tm2022716d6_8k.htm" TargetMode="External"/><Relationship Id="rId101" Type="http://schemas.openxmlformats.org/officeDocument/2006/relationships/hyperlink" Target="http://www.sec.gov/ix?doc=/Archives/edgar/data/1410939/000141093921000041/isee-202109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2022-12-01T15:06:20Z</dcterms:created>
  <dcterms:modified xsi:type="dcterms:W3CDTF">2022-12-01T15:06:20Z</dcterms:modified>
</cp:coreProperties>
</file>