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GUYER DAVID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09/24/2013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Ophthotech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OPHT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780" w:type="dxa"/>
            <w:vAlign w:val="bottom"/>
          </w:tcPr>
          <w:p>
            <w:pPr>
              <w:ind w:left="8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OPHTHOTECH CORPORATION</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ONE PENN PLAZA, 35TH FLOOR</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780" w:type="dxa"/>
            <w:vAlign w:val="bottom"/>
          </w:tcPr>
          <w:p>
            <w:pPr>
              <w:ind w:left="80"/>
              <w:spacing w:after="0"/>
              <w:rPr>
                <w:sz w:val="20"/>
                <w:szCs w:val="20"/>
                <w:color w:val="auto"/>
              </w:rPr>
            </w:pPr>
            <w:r>
              <w:rPr>
                <w:rFonts w:ascii="Arial" w:cs="Arial" w:eastAsia="Arial" w:hAnsi="Arial"/>
                <w:sz w:val="18"/>
                <w:szCs w:val="18"/>
                <w:color w:val="0000FF"/>
              </w:rPr>
              <w:t>NY</w:t>
            </w:r>
          </w:p>
        </w:tc>
        <w:tc>
          <w:tcPr>
            <w:tcW w:w="1420" w:type="dxa"/>
            <w:vAlign w:val="bottom"/>
          </w:tcPr>
          <w:p>
            <w:pPr>
              <w:ind w:left="380"/>
              <w:spacing w:after="0"/>
              <w:rPr>
                <w:sz w:val="20"/>
                <w:szCs w:val="20"/>
                <w:color w:val="auto"/>
              </w:rPr>
            </w:pPr>
            <w:r>
              <w:rPr>
                <w:rFonts w:ascii="Arial" w:cs="Arial" w:eastAsia="Arial" w:hAnsi="Arial"/>
                <w:sz w:val="18"/>
                <w:szCs w:val="18"/>
                <w:color w:val="0000FF"/>
              </w:rPr>
              <w:t>10119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Executive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40"/>
              <w:spacing w:after="0"/>
              <w:rPr>
                <w:sz w:val="20"/>
                <w:szCs w:val="20"/>
                <w:color w:val="auto"/>
              </w:rPr>
            </w:pPr>
            <w:r>
              <w:rPr>
                <w:rFonts w:ascii="Arial" w:cs="Arial" w:eastAsia="Arial" w:hAnsi="Arial"/>
                <w:sz w:val="18"/>
                <w:szCs w:val="18"/>
                <w:color w:val="0000FF"/>
              </w:rPr>
              <w:t>46,610</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04/25/2023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569,874</w:t>
            </w:r>
          </w:p>
        </w:tc>
        <w:tc>
          <w:tcPr>
            <w:tcW w:w="880" w:type="dxa"/>
            <w:vAlign w:val="bottom"/>
          </w:tcPr>
          <w:p>
            <w:pPr>
              <w:ind w:left="240"/>
              <w:spacing w:after="0"/>
              <w:rPr>
                <w:sz w:val="20"/>
                <w:szCs w:val="20"/>
                <w:color w:val="auto"/>
              </w:rPr>
            </w:pPr>
            <w:r>
              <w:rPr>
                <w:rFonts w:ascii="Arial" w:cs="Arial" w:eastAsia="Arial" w:hAnsi="Arial"/>
                <w:sz w:val="18"/>
                <w:szCs w:val="18"/>
                <w:color w:val="0000FF"/>
              </w:rPr>
              <w:t>10.03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04/25/2023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105,084</w:t>
            </w:r>
          </w:p>
        </w:tc>
        <w:tc>
          <w:tcPr>
            <w:tcW w:w="880" w:type="dxa"/>
            <w:vAlign w:val="bottom"/>
          </w:tcPr>
          <w:p>
            <w:pPr>
              <w:ind w:left="240"/>
              <w:spacing w:after="0"/>
              <w:rPr>
                <w:sz w:val="20"/>
                <w:szCs w:val="20"/>
                <w:color w:val="auto"/>
              </w:rPr>
            </w:pPr>
            <w:r>
              <w:rPr>
                <w:rFonts w:ascii="Arial" w:cs="Arial" w:eastAsia="Arial" w:hAnsi="Arial"/>
                <w:sz w:val="18"/>
                <w:szCs w:val="18"/>
                <w:color w:val="0000FF"/>
              </w:rPr>
              <w:t>10.03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was granted on April 26, 2013 and vests over four years, with 2.0833% of the original number of shares underlying the option vesting monthly from the date of grant.</w:t>
      </w:r>
    </w:p>
    <w:p>
      <w:pPr>
        <w:spacing w:after="0" w:line="41"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was granted on April 26, 2013 and vests over four years, subject to performance based vesting. As each of the performance milestones has already been achieved, 2.0833% of the original number of shares underlying the option vest monthly from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Index: 24.1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David R. Guyer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09/24/2013</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Exhibit 24.1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Limited Power Of Attorney For Section 16 Reporting Obligations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Bruce A. Peacock and Tom Biancardi, signing singly and each acting individually, as the undersigned's true and lawful attorney-in-fact with full power and authority as hereinafter described to:</w:t>
      </w:r>
    </w:p>
    <w:p>
      <w:pPr>
        <w:spacing w:after="0" w:line="207" w:lineRule="exact"/>
        <w:rPr>
          <w:sz w:val="20"/>
          <w:szCs w:val="20"/>
          <w:color w:val="auto"/>
        </w:rPr>
      </w:pPr>
    </w:p>
    <w:p>
      <w:pPr>
        <w:ind w:right="1879" w:firstLine="745"/>
        <w:spacing w:after="0" w:line="273"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and/or holder of equity in, Ophthotech Corporation (the "Company"), Forms 3, 4, and 5 (including any amendments thereto) in accordance with Section 16(a) of the Securities Exchange Act of 1934 and the rules thereunder (the "Exchange Act");</w:t>
      </w:r>
    </w:p>
    <w:p>
      <w:pPr>
        <w:spacing w:after="0" w:line="184" w:lineRule="exact"/>
        <w:rPr>
          <w:rFonts w:ascii="Courier New" w:cs="Courier New" w:eastAsia="Courier New" w:hAnsi="Courier New"/>
          <w:sz w:val="16"/>
          <w:szCs w:val="16"/>
          <w:color w:val="auto"/>
        </w:rPr>
      </w:pPr>
    </w:p>
    <w:p>
      <w:pPr>
        <w:ind w:right="1779" w:firstLine="745"/>
        <w:spacing w:after="0" w:line="271"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or any other application materials to enable the undersigned to gain or maintain access to the Electronic Data Gathering Analysis and Retrieval System of the SEC;</w:t>
      </w:r>
    </w:p>
    <w:p>
      <w:pPr>
        <w:spacing w:after="0" w:line="185" w:lineRule="exact"/>
        <w:rPr>
          <w:rFonts w:ascii="Courier New" w:cs="Courier New" w:eastAsia="Courier New" w:hAnsi="Courier New"/>
          <w:sz w:val="16"/>
          <w:szCs w:val="16"/>
          <w:color w:val="auto"/>
        </w:rPr>
      </w:pPr>
    </w:p>
    <w:p>
      <w:pPr>
        <w:ind w:right="1779" w:firstLine="745"/>
        <w:spacing w:after="0" w:line="237"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09" w:lineRule="exact"/>
        <w:rPr>
          <w:rFonts w:ascii="Courier New" w:cs="Courier New" w:eastAsia="Courier New" w:hAnsi="Courier New"/>
          <w:sz w:val="18"/>
          <w:szCs w:val="18"/>
          <w:color w:val="auto"/>
        </w:rPr>
      </w:pPr>
    </w:p>
    <w:p>
      <w:pPr>
        <w:ind w:right="1779" w:firstLine="745"/>
        <w:spacing w:after="0" w:line="237"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187" w:lineRule="exact"/>
        <w:rPr>
          <w:sz w:val="20"/>
          <w:szCs w:val="20"/>
          <w:color w:val="auto"/>
        </w:rPr>
      </w:pPr>
    </w:p>
    <w:p>
      <w:pPr>
        <w:ind w:right="18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September 24, 2013.</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David R. Guyer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ind w:left="4220"/>
        <w:spacing w:after="0" w:line="237" w:lineRule="auto"/>
        <w:rPr>
          <w:sz w:val="20"/>
          <w:szCs w:val="20"/>
          <w:color w:val="auto"/>
        </w:rPr>
      </w:pPr>
      <w:r>
        <w:rPr>
          <w:rFonts w:ascii="Courier New" w:cs="Courier New" w:eastAsia="Courier New" w:hAnsi="Courier New"/>
          <w:sz w:val="18"/>
          <w:szCs w:val="18"/>
          <w:color w:val="auto"/>
        </w:rPr>
        <w:t>Name: David R. Guyer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77476" TargetMode="External"/><Relationship Id="rId12"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2019-12-18T04:03:56Z</dcterms:created>
  <dcterms:modified xsi:type="dcterms:W3CDTF">2019-12-18T04:03:56Z</dcterms:modified>
</cp:coreProperties>
</file>