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02</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IVERIC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46583P102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spacing w:after="0" w:line="1" w:lineRule="exact"/>
        <w:rPr>
          <w:rFonts w:ascii="Arial" w:cs="Arial" w:eastAsia="Arial" w:hAnsi="Arial"/>
          <w:sz w:val="16"/>
          <w:szCs w:val="16"/>
          <w:color w:val="auto"/>
        </w:rPr>
      </w:pPr>
    </w:p>
    <w:p>
      <w:pPr>
        <w:ind w:left="420" w:hanging="187"/>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rFonts w:ascii="Arial" w:cs="Arial" w:eastAsia="Arial" w:hAnsi="Arial"/>
          <w:sz w:val="18"/>
          <w:szCs w:val="18"/>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46583P102</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BML Investment Partners, L.P.</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3,625,000(1)</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3,625,000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3,625,000 (1)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7.60%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5"/>
          <w:szCs w:val="15"/>
          <w:color w:val="auto"/>
        </w:rPr>
        <w:t>PN</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40"/>
        <w:spacing w:after="0" w:line="259" w:lineRule="auto"/>
        <w:rPr>
          <w:sz w:val="20"/>
          <w:szCs w:val="20"/>
          <w:color w:val="auto"/>
        </w:rPr>
      </w:pPr>
      <w:r>
        <w:rPr>
          <w:rFonts w:ascii="Arial" w:cs="Arial" w:eastAsia="Arial" w:hAnsi="Arial"/>
          <w:sz w:val="18"/>
          <w:szCs w:val="18"/>
          <w:color w:val="auto"/>
        </w:rPr>
        <w:t>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243840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46583P102</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Braden M Leonard</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Untied States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3,625,000 (1)</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3,625,000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3,751,000 (1)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7.8%</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IN</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40"/>
        <w:spacing w:after="0" w:line="259" w:lineRule="auto"/>
        <w:rPr>
          <w:sz w:val="20"/>
          <w:szCs w:val="20"/>
          <w:color w:val="auto"/>
        </w:rPr>
      </w:pPr>
      <w:r>
        <w:rPr>
          <w:rFonts w:ascii="Arial" w:cs="Arial" w:eastAsia="Arial" w:hAnsi="Arial"/>
          <w:sz w:val="18"/>
          <w:szCs w:val="18"/>
          <w:color w:val="auto"/>
        </w:rPr>
        <w:t>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243840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66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Issuer IVERIC bio, Inc.</w:t>
      </w:r>
    </w:p>
    <w:p>
      <w:pPr>
        <w:spacing w:after="0" w:line="173" w:lineRule="exact"/>
        <w:rPr>
          <w:rFonts w:ascii="Arial" w:cs="Arial" w:eastAsia="Arial" w:hAnsi="Arial"/>
          <w:sz w:val="17"/>
          <w:szCs w:val="17"/>
          <w:color w:val="auto"/>
        </w:rPr>
      </w:pPr>
    </w:p>
    <w:p>
      <w:pPr>
        <w:ind w:left="1300" w:right="648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One Penn Plaza, 35th Floor</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BML Investment Partners, L.P.</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65 E Cedar - Suite 2</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Zionsville, IN 46077</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46583P102</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3,751,000</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7.8%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126,000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3,625,000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126,000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3,625,000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BML Capital Management, LLC</w:t>
      </w:r>
    </w:p>
    <w:p>
      <w:pPr>
        <w:sectPr>
          <w:pgSz w:w="11900" w:h="16838" w:orient="portrait"/>
          <w:cols w:equalWidth="0" w:num="1">
            <w:col w:w="11400"/>
          </w:cols>
          <w:pgMar w:left="240" w:top="756" w:right="2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2020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Braden M Leonard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Braden M Leonard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Title: Managing Member</w:t>
      </w:r>
    </w:p>
    <w:p>
      <w:pPr>
        <w:spacing w:after="0" w:line="200" w:lineRule="exact"/>
        <w:rPr>
          <w:sz w:val="20"/>
          <w:szCs w:val="20"/>
          <w:color w:val="auto"/>
        </w:rPr>
      </w:pPr>
    </w:p>
    <w:p>
      <w:pPr>
        <w:sectPr>
          <w:pgSz w:w="11900" w:h="16838" w:orient="portrait"/>
          <w:cols w:equalWidth="0" w:num="3">
            <w:col w:w="5000" w:space="720"/>
            <w:col w:w="260" w:space="100"/>
            <w:col w:w="5320"/>
          </w:cols>
          <w:pgMar w:left="240" w:top="75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 Braden M Leonard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Braden M Leonard</w:t>
      </w:r>
    </w:p>
    <w:p>
      <w:pPr>
        <w:spacing w:after="0" w:line="200" w:lineRule="exact"/>
        <w:rPr>
          <w:sz w:val="20"/>
          <w:szCs w:val="20"/>
          <w:color w:val="auto"/>
        </w:rPr>
      </w:pPr>
    </w:p>
    <w:p>
      <w:pPr>
        <w:sectPr>
          <w:pgSz w:w="11900" w:h="16838" w:orient="portrait"/>
          <w:cols w:equalWidth="0" w:num="3">
            <w:col w:w="5000" w:space="720"/>
            <w:col w:w="260" w:space="100"/>
            <w:col w:w="5320"/>
          </w:cols>
          <w:pgMar w:left="240" w:top="756" w:right="25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860" w:right="200" w:hanging="850"/>
        <w:spacing w:after="0" w:line="261" w:lineRule="auto"/>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BML Investment Partners, L.P. is a Delaware limited partnership whose sole general partner is BML Capital Management, LLC. The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BML Capital Management, LLC is Braden M.Leonard. As a result, Braden M.Leonard is deemed to be the indirect owner of the shares held directly by BML Investment Partners, L.P. Despite such shared beneficial ownership, the reporting persons disclaim that they constitute a statutory group within the meaning of Rule 13d-5(b) (1)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400"/>
      </w:cols>
      <w:pgMar w:left="240" w:top="75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o"/>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2020-02-11T05:04:54Z</dcterms:created>
  <dcterms:modified xsi:type="dcterms:W3CDTF">2020-02-11T05:04:54Z</dcterms:modified>
</cp:coreProperties>
</file>