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6075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075680"/>
                    </a:xfrm>
                    <a:prstGeom prst="rect">
                      <a:avLst/>
                    </a:prstGeom>
                    <a:noFill/>
                  </pic:spPr>
                </pic:pic>
              </a:graphicData>
            </a:graphic>
          </wp:anchor>
        </w:drawing>
      </w:r>
    </w:p>
    <w:p>
      <w:pPr>
        <w:spacing w:after="0" w:line="109" w:lineRule="exact"/>
        <w:rPr>
          <w:sz w:val="24"/>
          <w:szCs w:val="24"/>
          <w:color w:val="auto"/>
        </w:rPr>
      </w:pPr>
    </w:p>
    <w:p>
      <w:pPr>
        <w:sectPr>
          <w:pgSz w:w="11900" w:h="16926"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Carroll David Francis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IVERIC BIO,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SYLVAN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IVERIC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ISEE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CFO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6" w:lineRule="exact"/>
        <w:rPr>
          <w:sz w:val="24"/>
          <w:szCs w:val="24"/>
          <w:color w:val="auto"/>
        </w:rPr>
      </w:pPr>
    </w:p>
    <w:p>
      <w:pPr>
        <w:sectPr>
          <w:pgSz w:w="11900" w:h="16926"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6"/>
          </w:tcPr>
          <w:p>
            <w:pPr>
              <w:jc w:val="center"/>
              <w:ind w:right="33"/>
              <w:spacing w:after="0" w:line="146"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PARSIPPANY   NJ</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07054</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40" w:type="dxa"/>
            <w:vAlign w:val="bottom"/>
            <w:gridSpan w:val="3"/>
          </w:tcPr>
          <w:p>
            <w:pPr>
              <w:jc w:val="center"/>
              <w:ind w:left="52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ind w:right="32"/>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w w:val="98"/>
              </w:rPr>
              <w:t>12/09/2022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8"/>
              </w:rPr>
              <w:t>10,000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2"/>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50,998</w:t>
            </w:r>
            <w:r>
              <w:rPr>
                <w:rFonts w:ascii="Times New Roman" w:cs="Times New Roman" w:eastAsia="Times New Roman" w:hAnsi="Times New Roman"/>
                <w:sz w:val="21"/>
                <w:szCs w:val="21"/>
                <w:color w:val="008000"/>
                <w:w w:val="91"/>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w w:val="98"/>
              </w:rPr>
              <w:t>12/12/2022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1"/>
              </w:rPr>
              <w:t>2,405</w:t>
            </w:r>
            <w:r>
              <w:rPr>
                <w:rFonts w:ascii="Times New Roman" w:cs="Times New Roman" w:eastAsia="Times New Roman" w:hAnsi="Times New Roman"/>
                <w:sz w:val="21"/>
                <w:szCs w:val="21"/>
                <w:color w:val="008000"/>
                <w:w w:val="91"/>
                <w:vertAlign w:val="superscript"/>
              </w:rPr>
              <w:t>(3)</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20.66</w:t>
            </w:r>
            <w:r>
              <w:rPr>
                <w:rFonts w:ascii="Times New Roman" w:cs="Times New Roman" w:eastAsia="Times New Roman" w:hAnsi="Times New Roman"/>
                <w:sz w:val="21"/>
                <w:szCs w:val="21"/>
                <w:color w:val="008000"/>
                <w:w w:val="90"/>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48,593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w w:val="98"/>
              </w:rPr>
              <w:t>12/12/2022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1"/>
              </w:rPr>
              <w:t>1,541</w:t>
            </w:r>
            <w:r>
              <w:rPr>
                <w:rFonts w:ascii="Times New Roman" w:cs="Times New Roman" w:eastAsia="Times New Roman" w:hAnsi="Times New Roman"/>
                <w:sz w:val="21"/>
                <w:szCs w:val="21"/>
                <w:color w:val="008000"/>
                <w:w w:val="91"/>
                <w:vertAlign w:val="superscript"/>
              </w:rPr>
              <w:t>(3)</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21.25</w:t>
            </w:r>
            <w:r>
              <w:rPr>
                <w:rFonts w:ascii="Times New Roman" w:cs="Times New Roman" w:eastAsia="Times New Roman" w:hAnsi="Times New Roman"/>
                <w:sz w:val="21"/>
                <w:szCs w:val="21"/>
                <w:color w:val="008000"/>
                <w:w w:val="90"/>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47,052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w w:val="98"/>
              </w:rPr>
              <w:t>12/12/2022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8"/>
              </w:rPr>
              <w:t>12,500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2"/>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59,552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w w:val="98"/>
              </w:rPr>
              <w:t>12/13/2022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1"/>
              </w:rPr>
              <w:t>4,932</w:t>
            </w:r>
            <w:r>
              <w:rPr>
                <w:rFonts w:ascii="Times New Roman" w:cs="Times New Roman" w:eastAsia="Times New Roman" w:hAnsi="Times New Roman"/>
                <w:sz w:val="21"/>
                <w:szCs w:val="21"/>
                <w:color w:val="008000"/>
                <w:w w:val="91"/>
                <w:vertAlign w:val="superscript"/>
              </w:rPr>
              <w:t>(6)</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21.73</w:t>
            </w:r>
            <w:r>
              <w:rPr>
                <w:rFonts w:ascii="Times New Roman" w:cs="Times New Roman" w:eastAsia="Times New Roman" w:hAnsi="Times New Roman"/>
                <w:sz w:val="21"/>
                <w:szCs w:val="21"/>
                <w:color w:val="008000"/>
                <w:w w:val="90"/>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54,620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12"/>
              <w:spacing w:after="0" w:line="129"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3"/>
                <w:szCs w:val="13"/>
                <w:color w:val="0000FF"/>
              </w:rPr>
              <w:t>12/09/2022</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10,000</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3"/>
                <w:szCs w:val="13"/>
                <w:color w:val="0000FF"/>
              </w:rPr>
              <w:t>12/12/2022</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12,500</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10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converted into common stock on a one-for-one basis upon vesting of the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total includes 832 shares acquired by the Reporting Person on September 15, 2022, under the Registrant's 2016 Employee Stock Purchase Plan that were not previously reported.</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pursuant to the prespecified terms of the applicable Restricted Stock Unit Agreement to satisfy the Reporting Person's minimum statutory withholding obligations with respect to the income recognized by the Reporting Person upon the vesting of the restricted stock units on December 9, 2022.</w:t>
      </w:r>
    </w:p>
    <w:p>
      <w:pPr>
        <w:spacing w:after="0" w:line="16" w:lineRule="exact"/>
        <w:rPr>
          <w:rFonts w:ascii="Times New Roman" w:cs="Times New Roman" w:eastAsia="Times New Roman" w:hAnsi="Times New Roman"/>
          <w:sz w:val="13"/>
          <w:szCs w:val="13"/>
          <w:color w:val="008000"/>
        </w:rPr>
      </w:pPr>
    </w:p>
    <w:p>
      <w:pPr>
        <w:ind w:left="40" w:right="3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of the Reporting Person's shares represents the weighted average price of all shares sold by a broker in multiple transactions effected at prices ranging from $20.05 to $20.96 on December 12, 2022 on behalf of a group of employees of the Registrant to satisfy the payment of withholding tax liability of such employees. The Reporting Person undertakes to provide upon request by the staff of the Securities Exchange Commission, the Registrant or a security holder of the Registrant, information regarding the number of shares sold at each price within the range.</w:t>
      </w:r>
    </w:p>
    <w:p>
      <w:pPr>
        <w:spacing w:after="0" w:line="25"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of the Reporting Person's shares represents the price of all shares sold by a broker in multiple transactions effected on December 12, 2022 on behalf of a group of employees of the Registrant to satisfy the payment of withholding tax liability of such employees.</w:t>
      </w:r>
    </w:p>
    <w:p>
      <w:pPr>
        <w:spacing w:after="0" w:line="16"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pursuant to the prespecified terms of the applicable Restricted Stock Unit Agreement to satisfy the Reporting Person's minimum statutory withholding obligations with respect to the income recognized by the Reporting Person upon the vesting of the restricted stock units on December 12, 2022.</w:t>
      </w:r>
    </w:p>
    <w:p>
      <w:pPr>
        <w:spacing w:after="0" w:line="16" w:lineRule="exact"/>
        <w:rPr>
          <w:rFonts w:ascii="Times New Roman" w:cs="Times New Roman" w:eastAsia="Times New Roman" w:hAnsi="Times New Roman"/>
          <w:sz w:val="13"/>
          <w:szCs w:val="13"/>
          <w:color w:val="008000"/>
        </w:rPr>
      </w:pPr>
    </w:p>
    <w:p>
      <w:pPr>
        <w:ind w:left="40" w:right="3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of the Reporting Person's shares represents the weighted average price of all shares sold by a broker in multiple transactions effected at prices ranging from $21.31 to $22.13 on December 13, 2022 on behalf of a group of employees of the Registrant to satisfy the payment of withholding tax liability of such employees. The Reporting Person undertakes to provide upon request by the staff of the Securities Exchange Commission, the Registrant or a security holder of the Registrant, information regarding the number of shares sold at each price within the range.</w:t>
      </w:r>
    </w:p>
    <w:p>
      <w:pPr>
        <w:spacing w:after="0" w:line="25"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9, 2019, the Reporting Person was granted an awarded of 40,000 restricted stock units, which vests with respect to 25% of the shares subject to the award on each of the first, second, third and fourth anniversaries of the grant date, subject to continued employment with the Registrant and the other terms and conditions under the Registrant's 2013 Stock Incentive Plan.</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12, 2018, the Reporting Person was granted 50,000 restricted stock units, which vests with respect to 25% of the shares subject to the award on each of the first, second, third and fourth anniversaries of the grant date, subject to continued employment with the Registrant and the other terms and conditions under the Registrant's 2013 Stock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Todd D.C. Anderman,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6"/>
          <w:szCs w:val="16"/>
          <w:color w:val="0000FF"/>
        </w:rPr>
        <w:t>12/13/2022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Carroll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90"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26"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3623" TargetMode="External"/><Relationship Id="rId13"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2022-12-13T20:06:56Z</dcterms:created>
  <dcterms:modified xsi:type="dcterms:W3CDTF">2022-12-13T20:06:56Z</dcterms:modified>
</cp:coreProperties>
</file>