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530860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616585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S-8</w:t>
      </w:r>
    </w:p>
    <w:p>
      <w:pPr>
        <w:spacing w:after="0" w:line="98"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REGISTRATION STATEMENT UNDER</w:t>
      </w:r>
    </w:p>
    <w:p>
      <w:pPr>
        <w:spacing w:after="0" w:line="28"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THE SECURITIES ACT OF 1933</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OPHTHOTECH CORPORATION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71" w:lineRule="exact"/>
        <w:rPr>
          <w:sz w:val="24"/>
          <w:szCs w:val="24"/>
          <w:color w:val="auto"/>
        </w:rPr>
      </w:pPr>
    </w:p>
    <w:tbl>
      <w:tblPr>
        <w:tblLayout w:type="fixed"/>
        <w:tblInd w:w="1340" w:type="dxa"/>
        <w:tblCellMar>
          <w:top w:w="0" w:type="dxa"/>
          <w:left w:w="0" w:type="dxa"/>
          <w:bottom w:w="0" w:type="dxa"/>
          <w:right w:w="0" w:type="dxa"/>
        </w:tblCellMar>
      </w:tblPr>
      <w:tr>
        <w:trPr>
          <w:trHeight w:val="222"/>
        </w:trPr>
        <w:tc>
          <w:tcPr>
            <w:tcW w:w="3220" w:type="dxa"/>
            <w:vAlign w:val="bottom"/>
          </w:tcPr>
          <w:p>
            <w:pPr>
              <w:jc w:val="center"/>
              <w:ind w:right="135"/>
              <w:spacing w:after="0"/>
              <w:rPr>
                <w:sz w:val="20"/>
                <w:szCs w:val="20"/>
                <w:color w:val="auto"/>
              </w:rPr>
            </w:pPr>
            <w:r>
              <w:rPr>
                <w:rFonts w:ascii="Arial" w:cs="Arial" w:eastAsia="Arial" w:hAnsi="Arial"/>
                <w:sz w:val="17"/>
                <w:szCs w:val="17"/>
                <w:b w:val="1"/>
                <w:bCs w:val="1"/>
                <w:color w:val="auto"/>
                <w:w w:val="91"/>
              </w:rPr>
              <w:t>Delaware</w:t>
            </w:r>
          </w:p>
        </w:tc>
        <w:tc>
          <w:tcPr>
            <w:tcW w:w="4720" w:type="dxa"/>
            <w:vAlign w:val="bottom"/>
          </w:tcPr>
          <w:p>
            <w:pPr>
              <w:jc w:val="right"/>
              <w:ind w:right="135"/>
              <w:spacing w:after="0"/>
              <w:rPr>
                <w:sz w:val="20"/>
                <w:szCs w:val="20"/>
                <w:color w:val="auto"/>
              </w:rPr>
            </w:pPr>
            <w:r>
              <w:rPr>
                <w:rFonts w:ascii="Arial" w:cs="Arial" w:eastAsia="Arial" w:hAnsi="Arial"/>
                <w:sz w:val="17"/>
                <w:szCs w:val="17"/>
                <w:b w:val="1"/>
                <w:bCs w:val="1"/>
                <w:color w:val="auto"/>
              </w:rPr>
              <w:t>20-8185347</w:t>
            </w:r>
          </w:p>
        </w:tc>
      </w:tr>
      <w:tr>
        <w:trPr>
          <w:trHeight w:val="270"/>
        </w:trPr>
        <w:tc>
          <w:tcPr>
            <w:tcW w:w="3220" w:type="dxa"/>
            <w:vAlign w:val="bottom"/>
          </w:tcPr>
          <w:p>
            <w:pPr>
              <w:jc w:val="center"/>
              <w:ind w:right="135"/>
              <w:spacing w:after="0"/>
              <w:rPr>
                <w:sz w:val="20"/>
                <w:szCs w:val="20"/>
                <w:color w:val="auto"/>
              </w:rPr>
            </w:pPr>
            <w:r>
              <w:rPr>
                <w:rFonts w:ascii="Arial" w:cs="Arial" w:eastAsia="Arial" w:hAnsi="Arial"/>
                <w:sz w:val="17"/>
                <w:szCs w:val="17"/>
                <w:color w:val="auto"/>
                <w:w w:val="92"/>
              </w:rPr>
              <w:t>(State or Other Jurisdiction of Incorporation</w:t>
            </w:r>
          </w:p>
        </w:tc>
        <w:tc>
          <w:tcPr>
            <w:tcW w:w="4720" w:type="dxa"/>
            <w:vAlign w:val="bottom"/>
          </w:tcPr>
          <w:p>
            <w:pPr>
              <w:jc w:val="center"/>
              <w:ind w:left="3335"/>
              <w:spacing w:after="0"/>
              <w:rPr>
                <w:sz w:val="20"/>
                <w:szCs w:val="20"/>
                <w:color w:val="auto"/>
              </w:rPr>
            </w:pPr>
            <w:r>
              <w:rPr>
                <w:rFonts w:ascii="Arial" w:cs="Arial" w:eastAsia="Arial" w:hAnsi="Arial"/>
                <w:sz w:val="17"/>
                <w:szCs w:val="17"/>
                <w:color w:val="auto"/>
                <w:w w:val="94"/>
              </w:rPr>
              <w:t>(I.R.S. Employer</w:t>
            </w:r>
          </w:p>
        </w:tc>
      </w:tr>
      <w:tr>
        <w:trPr>
          <w:trHeight w:val="243"/>
        </w:trPr>
        <w:tc>
          <w:tcPr>
            <w:tcW w:w="3220" w:type="dxa"/>
            <w:vAlign w:val="bottom"/>
          </w:tcPr>
          <w:p>
            <w:pPr>
              <w:jc w:val="center"/>
              <w:ind w:right="135"/>
              <w:spacing w:after="0"/>
              <w:rPr>
                <w:sz w:val="20"/>
                <w:szCs w:val="20"/>
                <w:color w:val="auto"/>
              </w:rPr>
            </w:pPr>
            <w:r>
              <w:rPr>
                <w:rFonts w:ascii="Arial" w:cs="Arial" w:eastAsia="Arial" w:hAnsi="Arial"/>
                <w:sz w:val="17"/>
                <w:szCs w:val="17"/>
                <w:color w:val="auto"/>
                <w:w w:val="91"/>
              </w:rPr>
              <w:t>or Organization)</w:t>
            </w:r>
          </w:p>
        </w:tc>
        <w:tc>
          <w:tcPr>
            <w:tcW w:w="4720" w:type="dxa"/>
            <w:vAlign w:val="bottom"/>
          </w:tcPr>
          <w:p>
            <w:pPr>
              <w:jc w:val="center"/>
              <w:ind w:left="3375"/>
              <w:spacing w:after="0"/>
              <w:rPr>
                <w:sz w:val="20"/>
                <w:szCs w:val="20"/>
                <w:color w:val="auto"/>
              </w:rPr>
            </w:pPr>
            <w:r>
              <w:rPr>
                <w:rFonts w:ascii="Arial" w:cs="Arial" w:eastAsia="Arial" w:hAnsi="Arial"/>
                <w:sz w:val="17"/>
                <w:szCs w:val="17"/>
                <w:color w:val="auto"/>
                <w:w w:val="95"/>
              </w:rPr>
              <w:t>Identification No.)</w:t>
            </w:r>
          </w:p>
        </w:tc>
      </w:tr>
      <w:tr>
        <w:trPr>
          <w:trHeight w:val="304"/>
        </w:trPr>
        <w:tc>
          <w:tcPr>
            <w:tcW w:w="3220" w:type="dxa"/>
            <w:vAlign w:val="bottom"/>
          </w:tcPr>
          <w:p>
            <w:pPr>
              <w:ind w:left="440"/>
              <w:spacing w:after="0" w:line="304" w:lineRule="exact"/>
              <w:rPr>
                <w:sz w:val="20"/>
                <w:szCs w:val="20"/>
                <w:color w:val="auto"/>
              </w:rPr>
            </w:pPr>
            <w:r>
              <w:rPr>
                <w:rFonts w:ascii="Arial" w:cs="Arial" w:eastAsia="Arial" w:hAnsi="Arial"/>
                <w:sz w:val="17"/>
                <w:szCs w:val="17"/>
                <w:b w:val="1"/>
                <w:bCs w:val="1"/>
                <w:color w:val="auto"/>
              </w:rPr>
              <w:t>One Penn Plaza, 35</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Floor</w:t>
            </w:r>
          </w:p>
        </w:tc>
        <w:tc>
          <w:tcPr>
            <w:tcW w:w="4720" w:type="dxa"/>
            <w:vAlign w:val="bottom"/>
          </w:tcPr>
          <w:p>
            <w:pPr>
              <w:spacing w:after="0"/>
              <w:rPr>
                <w:sz w:val="24"/>
                <w:szCs w:val="24"/>
                <w:color w:val="auto"/>
              </w:rPr>
            </w:pPr>
          </w:p>
        </w:tc>
      </w:tr>
      <w:tr>
        <w:trPr>
          <w:trHeight w:val="222"/>
        </w:trPr>
        <w:tc>
          <w:tcPr>
            <w:tcW w:w="3220" w:type="dxa"/>
            <w:vAlign w:val="bottom"/>
          </w:tcPr>
          <w:p>
            <w:pPr>
              <w:jc w:val="center"/>
              <w:ind w:right="155"/>
              <w:spacing w:after="0"/>
              <w:rPr>
                <w:sz w:val="20"/>
                <w:szCs w:val="20"/>
                <w:color w:val="auto"/>
              </w:rPr>
            </w:pPr>
            <w:r>
              <w:rPr>
                <w:rFonts w:ascii="Arial" w:cs="Arial" w:eastAsia="Arial" w:hAnsi="Arial"/>
                <w:sz w:val="17"/>
                <w:szCs w:val="17"/>
                <w:b w:val="1"/>
                <w:bCs w:val="1"/>
                <w:color w:val="auto"/>
                <w:w w:val="93"/>
              </w:rPr>
              <w:t>New York, New York</w:t>
            </w:r>
          </w:p>
        </w:tc>
        <w:tc>
          <w:tcPr>
            <w:tcW w:w="4720" w:type="dxa"/>
            <w:vAlign w:val="bottom"/>
          </w:tcPr>
          <w:p>
            <w:pPr>
              <w:jc w:val="right"/>
              <w:ind w:right="335"/>
              <w:spacing w:after="0"/>
              <w:rPr>
                <w:sz w:val="20"/>
                <w:szCs w:val="20"/>
                <w:color w:val="auto"/>
              </w:rPr>
            </w:pPr>
            <w:r>
              <w:rPr>
                <w:rFonts w:ascii="Arial" w:cs="Arial" w:eastAsia="Arial" w:hAnsi="Arial"/>
                <w:sz w:val="17"/>
                <w:szCs w:val="17"/>
                <w:b w:val="1"/>
                <w:bCs w:val="1"/>
                <w:color w:val="auto"/>
              </w:rPr>
              <w:t>10119</w:t>
            </w:r>
          </w:p>
        </w:tc>
      </w:tr>
      <w:tr>
        <w:trPr>
          <w:trHeight w:val="284"/>
        </w:trPr>
        <w:tc>
          <w:tcPr>
            <w:tcW w:w="3220" w:type="dxa"/>
            <w:vAlign w:val="bottom"/>
          </w:tcPr>
          <w:p>
            <w:pPr>
              <w:jc w:val="center"/>
              <w:ind w:right="135"/>
              <w:spacing w:after="0"/>
              <w:rPr>
                <w:sz w:val="20"/>
                <w:szCs w:val="20"/>
                <w:color w:val="auto"/>
              </w:rPr>
            </w:pPr>
            <w:r>
              <w:rPr>
                <w:rFonts w:ascii="Arial" w:cs="Arial" w:eastAsia="Arial" w:hAnsi="Arial"/>
                <w:sz w:val="17"/>
                <w:szCs w:val="17"/>
                <w:color w:val="auto"/>
                <w:w w:val="93"/>
              </w:rPr>
              <w:t>(Address of Principal Executive Offices)</w:t>
            </w:r>
          </w:p>
        </w:tc>
        <w:tc>
          <w:tcPr>
            <w:tcW w:w="4720" w:type="dxa"/>
            <w:vAlign w:val="bottom"/>
          </w:tcPr>
          <w:p>
            <w:pPr>
              <w:jc w:val="center"/>
              <w:ind w:left="3375"/>
              <w:spacing w:after="0"/>
              <w:rPr>
                <w:sz w:val="20"/>
                <w:szCs w:val="20"/>
                <w:color w:val="auto"/>
              </w:rPr>
            </w:pPr>
            <w:r>
              <w:rPr>
                <w:rFonts w:ascii="Arial" w:cs="Arial" w:eastAsia="Arial" w:hAnsi="Arial"/>
                <w:sz w:val="17"/>
                <w:szCs w:val="17"/>
                <w:color w:val="auto"/>
                <w:w w:val="92"/>
              </w:rPr>
              <w:t>(Zip Code)</w:t>
            </w:r>
          </w:p>
        </w:tc>
      </w:tr>
      <w:tr>
        <w:trPr>
          <w:trHeight w:val="351"/>
        </w:trPr>
        <w:tc>
          <w:tcPr>
            <w:tcW w:w="3220" w:type="dxa"/>
            <w:vAlign w:val="bottom"/>
          </w:tcPr>
          <w:p>
            <w:pPr>
              <w:spacing w:after="0"/>
              <w:rPr>
                <w:sz w:val="24"/>
                <w:szCs w:val="24"/>
                <w:color w:val="auto"/>
              </w:rPr>
            </w:pPr>
          </w:p>
        </w:tc>
        <w:tc>
          <w:tcPr>
            <w:tcW w:w="4720" w:type="dxa"/>
            <w:vAlign w:val="bottom"/>
          </w:tcPr>
          <w:p>
            <w:pPr>
              <w:jc w:val="center"/>
              <w:ind w:right="2275"/>
              <w:spacing w:after="0"/>
              <w:rPr>
                <w:sz w:val="20"/>
                <w:szCs w:val="20"/>
                <w:color w:val="auto"/>
              </w:rPr>
            </w:pPr>
            <w:r>
              <w:rPr>
                <w:rFonts w:ascii="Arial" w:cs="Arial" w:eastAsia="Arial" w:hAnsi="Arial"/>
                <w:sz w:val="17"/>
                <w:szCs w:val="17"/>
                <w:b w:val="1"/>
                <w:bCs w:val="1"/>
                <w:color w:val="auto"/>
                <w:w w:val="90"/>
              </w:rPr>
              <w:t>2013 Stock Incentive Plan</w:t>
            </w:r>
          </w:p>
        </w:tc>
      </w:tr>
      <w:tr>
        <w:trPr>
          <w:trHeight w:val="216"/>
        </w:trPr>
        <w:tc>
          <w:tcPr>
            <w:tcW w:w="3220" w:type="dxa"/>
            <w:vAlign w:val="bottom"/>
          </w:tcPr>
          <w:p>
            <w:pPr>
              <w:spacing w:after="0"/>
              <w:rPr>
                <w:sz w:val="18"/>
                <w:szCs w:val="18"/>
                <w:color w:val="auto"/>
              </w:rPr>
            </w:pPr>
          </w:p>
        </w:tc>
        <w:tc>
          <w:tcPr>
            <w:tcW w:w="4720" w:type="dxa"/>
            <w:vAlign w:val="bottom"/>
          </w:tcPr>
          <w:p>
            <w:pPr>
              <w:jc w:val="center"/>
              <w:ind w:right="2335"/>
              <w:spacing w:after="0"/>
              <w:rPr>
                <w:sz w:val="20"/>
                <w:szCs w:val="20"/>
                <w:color w:val="auto"/>
              </w:rPr>
            </w:pPr>
            <w:r>
              <w:rPr>
                <w:rFonts w:ascii="Arial" w:cs="Arial" w:eastAsia="Arial" w:hAnsi="Arial"/>
                <w:sz w:val="17"/>
                <w:szCs w:val="17"/>
                <w:color w:val="auto"/>
                <w:w w:val="95"/>
              </w:rPr>
              <w:t>(Full Title of the Plan)</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Glenn P. Sblendorio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Ophthotech Corporation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One Penn Plaza, 35th Floor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New York, New York 10119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and Address of Agent for Service)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(212) 845-8200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(Telephone Number, Including Area Code, of Agent For Service)</w:t>
      </w:r>
    </w:p>
    <w:p>
      <w:pPr>
        <w:spacing w:after="0" w:line="55" w:lineRule="exact"/>
        <w:rPr>
          <w:sz w:val="24"/>
          <w:szCs w:val="24"/>
          <w:color w:val="auto"/>
        </w:rPr>
      </w:pPr>
    </w:p>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120" w:right="239" w:bottom="1440" w:gutter="0" w:footer="0" w:header="0"/>
        </w:sectPr>
      </w:pPr>
    </w:p>
    <w:p>
      <w:pPr>
        <w:spacing w:after="0" w:line="210" w:lineRule="exact"/>
        <w:rPr>
          <w:sz w:val="24"/>
          <w:szCs w:val="24"/>
          <w:color w:val="auto"/>
        </w:rPr>
      </w:pPr>
    </w:p>
    <w:p>
      <w:pPr>
        <w:ind w:left="68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x</w:t>
      </w:r>
    </w:p>
    <w:p>
      <w:pPr>
        <w:spacing w:after="0" w:line="138" w:lineRule="exact"/>
        <w:rPr>
          <w:sz w:val="24"/>
          <w:szCs w:val="24"/>
          <w:color w:val="auto"/>
        </w:rPr>
      </w:pPr>
    </w:p>
    <w:p>
      <w:pPr>
        <w:sectPr>
          <w:pgSz w:w="11900" w:h="16838" w:orient="portrait"/>
          <w:cols w:equalWidth="0" w:num="2">
            <w:col w:w="6100" w:space="720"/>
            <w:col w:w="4600"/>
          </w:cols>
          <w:pgMar w:left="240" w:top="1120" w:right="239" w:bottom="1440" w:gutter="0" w:footer="0" w:header="0"/>
          <w:type w:val="continuous"/>
        </w:sectPr>
      </w:pPr>
    </w:p>
    <w:p>
      <w:pPr>
        <w:ind w:left="68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x</w:t>
      </w:r>
    </w:p>
    <w:p>
      <w:pPr>
        <w:spacing w:after="0" w:line="150" w:lineRule="exact"/>
        <w:rPr>
          <w:sz w:val="24"/>
          <w:szCs w:val="24"/>
          <w:color w:val="auto"/>
        </w:rPr>
      </w:pPr>
    </w:p>
    <w:p>
      <w:pPr>
        <w:sectPr>
          <w:pgSz w:w="11900" w:h="16838" w:orient="portrait"/>
          <w:cols w:equalWidth="0" w:num="2">
            <w:col w:w="6100" w:space="720"/>
            <w:col w:w="4600"/>
          </w:cols>
          <w:pgMar w:left="240" w:top="1120" w:right="239" w:bottom="1440" w:gutter="0" w:footer="0" w:header="0"/>
          <w:type w:val="continuous"/>
        </w:sectPr>
      </w:pPr>
    </w:p>
    <w:p>
      <w:pPr>
        <w:ind w:left="680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1120" w:right="239" w:bottom="1440" w:gutter="0" w:footer="0" w:header="0"/>
          <w:type w:val="continuous"/>
        </w:sectPr>
      </w:pPr>
    </w:p>
    <w:p>
      <w:pPr>
        <w:spacing w:after="0" w:line="150" w:lineRule="exact"/>
        <w:rPr>
          <w:sz w:val="24"/>
          <w:szCs w:val="24"/>
          <w:color w:val="auto"/>
        </w:rPr>
      </w:pPr>
    </w:p>
    <w:p>
      <w:pPr>
        <w:ind w:right="160"/>
        <w:spacing w:after="0" w:line="275" w:lineRule="auto"/>
        <w:rPr>
          <w:sz w:val="20"/>
          <w:szCs w:val="20"/>
          <w:color w:val="auto"/>
        </w:rPr>
      </w:pPr>
      <w:r>
        <w:rPr>
          <w:rFonts w:ascii="Arial" w:cs="Arial" w:eastAsia="Arial" w:hAnsi="Arial"/>
          <w:sz w:val="16"/>
          <w:szCs w:val="16"/>
          <w:color w:val="211D1E"/>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6"/>
          <w:szCs w:val="16"/>
          <w:color w:val="000000"/>
        </w:rPr>
        <w:t>o</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102870</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120650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75"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440" w:type="dxa"/>
            <w:vAlign w:val="bottom"/>
            <w:vMerge w:val="restart"/>
          </w:tcPr>
          <w:p>
            <w:pPr>
              <w:jc w:val="center"/>
              <w:ind w:left="45"/>
              <w:spacing w:after="0"/>
              <w:rPr>
                <w:sz w:val="20"/>
                <w:szCs w:val="20"/>
                <w:color w:val="auto"/>
              </w:rPr>
            </w:pPr>
            <w:r>
              <w:rPr>
                <w:rFonts w:ascii="Arial" w:cs="Arial" w:eastAsia="Arial" w:hAnsi="Arial"/>
                <w:sz w:val="14"/>
                <w:szCs w:val="14"/>
                <w:b w:val="1"/>
                <w:bCs w:val="1"/>
                <w:color w:val="auto"/>
                <w:w w:val="95"/>
              </w:rPr>
              <w:t>Title of</w:t>
            </w:r>
          </w:p>
        </w:tc>
        <w:tc>
          <w:tcPr>
            <w:tcW w:w="22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880" w:type="dxa"/>
            <w:vAlign w:val="bottom"/>
          </w:tcPr>
          <w:p>
            <w:pPr>
              <w:jc w:val="center"/>
              <w:ind w:right="5"/>
              <w:spacing w:after="0"/>
              <w:rPr>
                <w:sz w:val="20"/>
                <w:szCs w:val="20"/>
                <w:color w:val="auto"/>
              </w:rPr>
            </w:pPr>
            <w:r>
              <w:rPr>
                <w:rFonts w:ascii="Arial" w:cs="Arial" w:eastAsia="Arial" w:hAnsi="Arial"/>
                <w:sz w:val="14"/>
                <w:szCs w:val="14"/>
                <w:b w:val="1"/>
                <w:bCs w:val="1"/>
                <w:color w:val="auto"/>
                <w:w w:val="86"/>
              </w:rPr>
              <w:t>Proposed</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vMerge w:val="continue"/>
          </w:tcPr>
          <w:p>
            <w:pPr>
              <w:spacing w:after="0"/>
              <w:rPr>
                <w:sz w:val="12"/>
                <w:szCs w:val="12"/>
                <w:color w:val="auto"/>
              </w:rPr>
            </w:pPr>
          </w:p>
        </w:tc>
        <w:tc>
          <w:tcPr>
            <w:tcW w:w="2220" w:type="dxa"/>
            <w:vAlign w:val="bottom"/>
            <w:vMerge w:val="restart"/>
          </w:tcPr>
          <w:p>
            <w:pPr>
              <w:jc w:val="center"/>
              <w:ind w:left="64"/>
              <w:spacing w:after="0"/>
              <w:rPr>
                <w:sz w:val="20"/>
                <w:szCs w:val="20"/>
                <w:color w:val="auto"/>
              </w:rPr>
            </w:pPr>
            <w:r>
              <w:rPr>
                <w:rFonts w:ascii="Arial" w:cs="Arial" w:eastAsia="Arial" w:hAnsi="Arial"/>
                <w:sz w:val="14"/>
                <w:szCs w:val="14"/>
                <w:b w:val="1"/>
                <w:bCs w:val="1"/>
                <w:color w:val="auto"/>
                <w:w w:val="93"/>
              </w:rPr>
              <w:t>Amount to be</w:t>
            </w:r>
          </w:p>
        </w:tc>
        <w:tc>
          <w:tcPr>
            <w:tcW w:w="188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99"/>
              </w:rPr>
              <w:t>Maximum</w:t>
            </w:r>
          </w:p>
        </w:tc>
        <w:tc>
          <w:tcPr>
            <w:tcW w:w="188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99"/>
              </w:rPr>
              <w:t>Maximum</w:t>
            </w:r>
          </w:p>
        </w:tc>
        <w:tc>
          <w:tcPr>
            <w:tcW w:w="1940" w:type="dxa"/>
            <w:vAlign w:val="bottom"/>
            <w:vMerge w:val="restart"/>
          </w:tcPr>
          <w:p>
            <w:pPr>
              <w:jc w:val="center"/>
              <w:ind w:right="4"/>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440" w:type="dxa"/>
            <w:vAlign w:val="bottom"/>
          </w:tcPr>
          <w:p>
            <w:pPr>
              <w:jc w:val="center"/>
              <w:ind w:left="25"/>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2220" w:type="dxa"/>
            <w:vAlign w:val="bottom"/>
            <w:vMerge w:val="continue"/>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Offering Price Per</w:t>
            </w:r>
          </w:p>
        </w:tc>
        <w:tc>
          <w:tcPr>
            <w:tcW w:w="188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92"/>
              </w:rPr>
              <w:t>Aggregate</w:t>
            </w: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40" w:type="dxa"/>
            <w:vAlign w:val="bottom"/>
          </w:tcPr>
          <w:p>
            <w:pPr>
              <w:jc w:val="center"/>
              <w:ind w:left="65"/>
              <w:spacing w:after="0"/>
              <w:rPr>
                <w:sz w:val="20"/>
                <w:szCs w:val="20"/>
                <w:color w:val="auto"/>
              </w:rPr>
            </w:pPr>
            <w:r>
              <w:rPr>
                <w:rFonts w:ascii="Arial" w:cs="Arial" w:eastAsia="Arial" w:hAnsi="Arial"/>
                <w:sz w:val="14"/>
                <w:szCs w:val="14"/>
                <w:b w:val="1"/>
                <w:bCs w:val="1"/>
                <w:color w:val="auto"/>
                <w:w w:val="91"/>
              </w:rPr>
              <w:t>Registered</w:t>
            </w:r>
          </w:p>
        </w:tc>
        <w:tc>
          <w:tcPr>
            <w:tcW w:w="2220" w:type="dxa"/>
            <w:vAlign w:val="bottom"/>
          </w:tcPr>
          <w:p>
            <w:pPr>
              <w:jc w:val="center"/>
              <w:ind w:left="104"/>
              <w:spacing w:after="0"/>
              <w:rPr>
                <w:sz w:val="20"/>
                <w:szCs w:val="20"/>
                <w:color w:val="auto"/>
              </w:rPr>
            </w:pPr>
            <w:r>
              <w:rPr>
                <w:rFonts w:ascii="Arial" w:cs="Arial" w:eastAsia="Arial" w:hAnsi="Arial"/>
                <w:sz w:val="14"/>
                <w:szCs w:val="14"/>
                <w:b w:val="1"/>
                <w:bCs w:val="1"/>
                <w:color w:val="auto"/>
                <w:w w:val="89"/>
              </w:rPr>
              <w:t>Registered (1)</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39"/>
        </w:trPr>
        <w:tc>
          <w:tcPr>
            <w:tcW w:w="344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3440" w:type="dxa"/>
            <w:vAlign w:val="bottom"/>
          </w:tcPr>
          <w:p>
            <w:pPr>
              <w:ind w:left="20"/>
              <w:spacing w:after="0"/>
              <w:rPr>
                <w:sz w:val="20"/>
                <w:szCs w:val="20"/>
                <w:color w:val="auto"/>
              </w:rPr>
            </w:pPr>
            <w:r>
              <w:rPr>
                <w:rFonts w:ascii="Arial" w:cs="Arial" w:eastAsia="Arial" w:hAnsi="Arial"/>
                <w:sz w:val="17"/>
                <w:szCs w:val="17"/>
                <w:color w:val="auto"/>
              </w:rPr>
              <w:t>Common Stock, $0.001 par value per share</w:t>
            </w:r>
          </w:p>
        </w:tc>
        <w:tc>
          <w:tcPr>
            <w:tcW w:w="2220" w:type="dxa"/>
            <w:vAlign w:val="bottom"/>
          </w:tcPr>
          <w:p>
            <w:pPr>
              <w:jc w:val="center"/>
              <w:ind w:left="64"/>
              <w:spacing w:after="0"/>
              <w:rPr>
                <w:sz w:val="20"/>
                <w:szCs w:val="20"/>
                <w:color w:val="auto"/>
              </w:rPr>
            </w:pPr>
            <w:r>
              <w:rPr>
                <w:rFonts w:ascii="Arial" w:cs="Arial" w:eastAsia="Arial" w:hAnsi="Arial"/>
                <w:sz w:val="17"/>
                <w:szCs w:val="17"/>
                <w:color w:val="auto"/>
                <w:w w:val="89"/>
              </w:rPr>
              <w:t>1,655,887 shares (2)</w:t>
            </w:r>
          </w:p>
        </w:tc>
        <w:tc>
          <w:tcPr>
            <w:tcW w:w="1880" w:type="dxa"/>
            <w:vAlign w:val="bottom"/>
          </w:tcPr>
          <w:p>
            <w:pPr>
              <w:jc w:val="center"/>
              <w:spacing w:after="0"/>
              <w:rPr>
                <w:sz w:val="20"/>
                <w:szCs w:val="20"/>
                <w:color w:val="auto"/>
              </w:rPr>
            </w:pPr>
            <w:r>
              <w:rPr>
                <w:rFonts w:ascii="Arial" w:cs="Arial" w:eastAsia="Arial" w:hAnsi="Arial"/>
                <w:sz w:val="17"/>
                <w:szCs w:val="17"/>
                <w:color w:val="auto"/>
                <w:w w:val="90"/>
              </w:rPr>
              <w:t>$ 1.33 (3)</w:t>
            </w:r>
          </w:p>
        </w:tc>
        <w:tc>
          <w:tcPr>
            <w:tcW w:w="1880" w:type="dxa"/>
            <w:vAlign w:val="bottom"/>
          </w:tcPr>
          <w:p>
            <w:pPr>
              <w:jc w:val="center"/>
              <w:spacing w:after="0"/>
              <w:rPr>
                <w:sz w:val="20"/>
                <w:szCs w:val="20"/>
                <w:color w:val="auto"/>
              </w:rPr>
            </w:pPr>
            <w:r>
              <w:rPr>
                <w:rFonts w:ascii="Arial" w:cs="Arial" w:eastAsia="Arial" w:hAnsi="Arial"/>
                <w:sz w:val="17"/>
                <w:szCs w:val="17"/>
                <w:color w:val="auto"/>
                <w:w w:val="91"/>
              </w:rPr>
              <w:t>$ 2,202,330 (3)</w:t>
            </w:r>
          </w:p>
        </w:tc>
        <w:tc>
          <w:tcPr>
            <w:tcW w:w="1940" w:type="dxa"/>
            <w:vAlign w:val="bottom"/>
          </w:tcPr>
          <w:p>
            <w:pPr>
              <w:jc w:val="center"/>
              <w:spacing w:after="0"/>
              <w:rPr>
                <w:sz w:val="20"/>
                <w:szCs w:val="20"/>
                <w:color w:val="auto"/>
              </w:rPr>
            </w:pPr>
            <w:r>
              <w:rPr>
                <w:rFonts w:ascii="Arial" w:cs="Arial" w:eastAsia="Arial" w:hAnsi="Arial"/>
                <w:sz w:val="17"/>
                <w:szCs w:val="17"/>
                <w:color w:val="auto"/>
                <w:w w:val="89"/>
              </w:rPr>
              <w:t>$ 267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36830</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53975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23" w:lineRule="exact"/>
        <w:rPr>
          <w:sz w:val="24"/>
          <w:szCs w:val="24"/>
          <w:color w:val="auto"/>
        </w:rPr>
      </w:pPr>
    </w:p>
    <w:p>
      <w:pPr>
        <w:ind w:left="340" w:right="260" w:hanging="332"/>
        <w:spacing w:after="0" w:line="275"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spacing w:after="0" w:line="24" w:lineRule="exact"/>
        <w:rPr>
          <w:rFonts w:ascii="Arial" w:cs="Arial" w:eastAsia="Arial" w:hAnsi="Arial"/>
          <w:sz w:val="16"/>
          <w:szCs w:val="16"/>
          <w:color w:val="auto"/>
        </w:rPr>
      </w:pPr>
    </w:p>
    <w:p>
      <w:pPr>
        <w:ind w:left="340" w:right="160" w:hanging="332"/>
        <w:spacing w:after="0" w:line="281" w:lineRule="auto"/>
        <w:tabs>
          <w:tab w:leader="none" w:pos="271" w:val="left"/>
        </w:tabs>
        <w:numPr>
          <w:ilvl w:val="0"/>
          <w:numId w:val="1"/>
        </w:numPr>
        <w:rPr>
          <w:rFonts w:ascii="Arial" w:cs="Arial" w:eastAsia="Arial" w:hAnsi="Arial"/>
          <w:sz w:val="18"/>
          <w:szCs w:val="18"/>
          <w:color w:val="auto"/>
        </w:rPr>
      </w:pPr>
      <w:r>
        <w:rPr>
          <w:rFonts w:ascii="Arial" w:cs="Arial" w:eastAsia="Arial" w:hAnsi="Arial"/>
          <w:sz w:val="16"/>
          <w:szCs w:val="16"/>
          <w:color w:val="auto"/>
        </w:rPr>
        <w:t>Represents 1,655,887 additional shares of the Registrant’s Common Stock available for issuance under the Registrant’s 2013 Stock Incentive Plan as a result of an annual increase.</w:t>
      </w:r>
    </w:p>
    <w:p>
      <w:pPr>
        <w:spacing w:after="0" w:line="14" w:lineRule="exact"/>
        <w:rPr>
          <w:rFonts w:ascii="Arial" w:cs="Arial" w:eastAsia="Arial" w:hAnsi="Arial"/>
          <w:sz w:val="18"/>
          <w:szCs w:val="18"/>
          <w:color w:val="auto"/>
        </w:rPr>
      </w:pPr>
    </w:p>
    <w:p>
      <w:pPr>
        <w:ind w:left="340" w:right="180" w:hanging="332"/>
        <w:spacing w:after="0" w:line="286" w:lineRule="auto"/>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in accordance with Rule 457(c) and 457(h) of the Securities Act of 1933, as amended. The price per share and aggregate offering price are calculated on the basis of $1.33, the average of the high and low sale prices of the Registrant’s Common Stock as reported on The Nasdaq Global Select Market on February 21, 2019, in accordance with Rule 457(c)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116840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0"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8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This Registration Statement on Form S-8, relating to the 2013 Stock Incentive Plan of Ophthotech Corporation (the “Registrant”), is being filed for the purpose of registering additional securities of the same class as other securities for which a Registration Statement on Form S-8 has previously been filed and is effective. Accordingly, this Registration Statement hereby incorporates by reference the contents of (i) the Registration Statement on Form S-8, File No. 333-191767, filed with the Securities and Exchange Commission on October 16, 2013 by the Registrant, relating to the Registrant’s Amended and Restated 2007 Stock Incentive Plan, as amended, and 2013 Stock Incentive Plan; (ii) the Registration Statement on Form S-8, File No. 333-193694, filed with the Securities and Exchange Commission on January 31, 2014 by the Registrant, relating to the Registrant’s 2013 Stock Incentive Plan; (iii) the Registration Statement on Form S-8, File No. 333-202438, filed with the Securities and Exchange Commission on March 2, 2015 by the Registrant, relating to the Registrant’s 2013 Stock Incentive Plan and certain inducement grants; (iv) the Registration Statement on Form S-8, File No. 333-208893, filed with the Securities and Exchange Commission on January 6, 2016 by the Registrant, relating to the Registrant’s 2013 Stock Incentive Plan and certain inducement grants; (v) the Registration Statement on Form S-8, File No. 333-219656, filed with the Securities and Exchange Commission on August 3, 2017 by the Registrant, relating to the Registrant’s 2013 Stock Incentive Plan; and (vi) the Registration Statement on Form S-8, File No. 333-223537, filed with the Securities and Exchange Commission on March 9, 2018 by the Registrant, relating to the Registrant’s 2013 Stock Incentive Plan, in each case except for Item 8, Exhibits, with respect to which the Exhibit Index immediately preceding the exhibits attached hereto is incorporated herein by reference.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60" w:type="dxa"/>
            <w:vAlign w:val="bottom"/>
            <w:gridSpan w:val="6"/>
          </w:tcPr>
          <w:p>
            <w:pPr>
              <w:jc w:val="center"/>
              <w:ind w:right="1860"/>
              <w:spacing w:after="0"/>
              <w:rPr>
                <w:sz w:val="20"/>
                <w:szCs w:val="20"/>
                <w:color w:val="auto"/>
              </w:rPr>
            </w:pPr>
            <w:r>
              <w:rPr>
                <w:rFonts w:ascii="Arial" w:cs="Arial" w:eastAsia="Arial" w:hAnsi="Arial"/>
                <w:sz w:val="18"/>
                <w:szCs w:val="18"/>
                <w:b w:val="1"/>
                <w:bCs w:val="1"/>
                <w:color w:val="auto"/>
              </w:rPr>
              <w:t>PART II</w:t>
            </w:r>
          </w:p>
        </w:tc>
      </w:tr>
      <w:tr>
        <w:trPr>
          <w:trHeight w:val="513"/>
        </w:trPr>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980" w:type="dxa"/>
            <w:vAlign w:val="bottom"/>
            <w:gridSpan w:val="9"/>
          </w:tcPr>
          <w:p>
            <w:pPr>
              <w:jc w:val="center"/>
              <w:ind w:left="290"/>
              <w:spacing w:after="0"/>
              <w:rPr>
                <w:sz w:val="20"/>
                <w:szCs w:val="20"/>
                <w:color w:val="auto"/>
              </w:rPr>
            </w:pPr>
            <w:r>
              <w:rPr>
                <w:rFonts w:ascii="Arial" w:cs="Arial" w:eastAsia="Arial" w:hAnsi="Arial"/>
                <w:sz w:val="18"/>
                <w:szCs w:val="18"/>
                <w:b w:val="1"/>
                <w:bCs w:val="1"/>
                <w:color w:val="auto"/>
              </w:rPr>
              <w:t>INFORMATION REQUIRED IN THE REGISTRATION STATEMENT</w:t>
            </w:r>
          </w:p>
        </w:tc>
      </w:tr>
      <w:tr>
        <w:trPr>
          <w:trHeight w:val="513"/>
        </w:trPr>
        <w:tc>
          <w:tcPr>
            <w:tcW w:w="2540" w:type="dxa"/>
            <w:vAlign w:val="bottom"/>
            <w:gridSpan w:val="7"/>
          </w:tcPr>
          <w:p>
            <w:pPr>
              <w:spacing w:after="0"/>
              <w:rPr>
                <w:sz w:val="20"/>
                <w:szCs w:val="20"/>
                <w:color w:val="auto"/>
              </w:rPr>
            </w:pPr>
            <w:r>
              <w:rPr>
                <w:rFonts w:ascii="Arial" w:cs="Arial" w:eastAsia="Arial" w:hAnsi="Arial"/>
                <w:sz w:val="18"/>
                <w:szCs w:val="18"/>
                <w:b w:val="1"/>
                <w:bCs w:val="1"/>
                <w:color w:val="auto"/>
              </w:rPr>
              <w:t>Item 8. Exhibits.</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8"/>
        </w:trPr>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00" w:type="dxa"/>
            <w:vAlign w:val="bottom"/>
            <w:gridSpan w:val="7"/>
          </w:tcPr>
          <w:p>
            <w:pPr>
              <w:jc w:val="center"/>
              <w:ind w:right="1520"/>
              <w:spacing w:after="0"/>
              <w:rPr>
                <w:sz w:val="20"/>
                <w:szCs w:val="20"/>
                <w:color w:val="auto"/>
              </w:rPr>
            </w:pPr>
            <w:r>
              <w:rPr>
                <w:rFonts w:ascii="Arial" w:cs="Arial" w:eastAsia="Arial" w:hAnsi="Arial"/>
                <w:sz w:val="20"/>
                <w:szCs w:val="20"/>
                <w:b w:val="1"/>
                <w:bCs w:val="1"/>
                <w:color w:val="auto"/>
              </w:rPr>
              <w:t>INDEX TO EXHIBITS</w:t>
            </w:r>
          </w:p>
        </w:tc>
      </w:tr>
      <w:tr>
        <w:trPr>
          <w:trHeight w:val="550"/>
        </w:trPr>
        <w:tc>
          <w:tcPr>
            <w:tcW w:w="140" w:type="dxa"/>
            <w:vAlign w:val="bottom"/>
          </w:tcPr>
          <w:p>
            <w:pPr>
              <w:spacing w:after="0"/>
              <w:rPr>
                <w:sz w:val="24"/>
                <w:szCs w:val="24"/>
                <w:color w:val="auto"/>
              </w:rPr>
            </w:pPr>
          </w:p>
        </w:tc>
        <w:tc>
          <w:tcPr>
            <w:tcW w:w="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Number</w:t>
            </w:r>
          </w:p>
        </w:tc>
        <w:tc>
          <w:tcPr>
            <w:tcW w:w="180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5140" w:type="dxa"/>
            <w:vAlign w:val="bottom"/>
            <w:gridSpan w:val="8"/>
          </w:tcPr>
          <w:p>
            <w:pPr>
              <w:spacing w:after="0"/>
              <w:rPr>
                <w:sz w:val="24"/>
                <w:szCs w:val="24"/>
                <w:color w:val="auto"/>
              </w:rPr>
            </w:pPr>
          </w:p>
        </w:tc>
      </w:tr>
      <w:tr>
        <w:trPr>
          <w:trHeight w:val="277"/>
        </w:trPr>
        <w:tc>
          <w:tcPr>
            <w:tcW w:w="140" w:type="dxa"/>
            <w:vAlign w:val="bottom"/>
          </w:tcPr>
          <w:p>
            <w:pPr>
              <w:spacing w:after="0"/>
              <w:rPr>
                <w:sz w:val="24"/>
                <w:szCs w:val="24"/>
                <w:color w:val="auto"/>
              </w:rPr>
            </w:pPr>
          </w:p>
        </w:tc>
        <w:tc>
          <w:tcPr>
            <w:tcW w:w="320" w:type="dxa"/>
            <w:vAlign w:val="bottom"/>
            <w:gridSpan w:val="2"/>
          </w:tcPr>
          <w:p>
            <w:pPr>
              <w:spacing w:after="0"/>
              <w:rPr>
                <w:rFonts w:ascii="Arial" w:cs="Arial" w:eastAsia="Arial" w:hAnsi="Arial"/>
                <w:sz w:val="18"/>
                <w:szCs w:val="18"/>
                <w:color w:val="0000FF"/>
                <w:w w:val="93"/>
              </w:rPr>
            </w:pPr>
            <w:hyperlink r:id="rId16">
              <w:r>
                <w:rPr>
                  <w:rFonts w:ascii="Arial" w:cs="Arial" w:eastAsia="Arial" w:hAnsi="Arial"/>
                  <w:sz w:val="18"/>
                  <w:szCs w:val="18"/>
                  <w:color w:val="0000FF"/>
                  <w:w w:val="93"/>
                </w:rPr>
                <w:t>4.</w:t>
              </w:r>
              <w:r>
                <w:rPr>
                  <w:rFonts w:ascii="Arial" w:cs="Arial" w:eastAsia="Arial" w:hAnsi="Arial"/>
                  <w:sz w:val="18"/>
                  <w:szCs w:val="18"/>
                  <w:u w:val="single" w:color="auto"/>
                  <w:color w:val="0000FF"/>
                  <w:w w:val="93"/>
                </w:rPr>
                <w:t>1*</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980" w:type="dxa"/>
            <w:vAlign w:val="bottom"/>
            <w:gridSpan w:val="9"/>
          </w:tcPr>
          <w:p>
            <w:pPr>
              <w:spacing w:after="0"/>
              <w:rPr>
                <w:rFonts w:ascii="Arial" w:cs="Arial" w:eastAsia="Arial" w:hAnsi="Arial"/>
                <w:sz w:val="18"/>
                <w:szCs w:val="18"/>
                <w:color w:val="0000FF"/>
              </w:rPr>
            </w:pPr>
            <w:hyperlink r:id="rId16">
              <w:r>
                <w:rPr>
                  <w:rFonts w:ascii="Arial" w:cs="Arial" w:eastAsia="Arial" w:hAnsi="Arial"/>
                  <w:sz w:val="18"/>
                  <w:szCs w:val="18"/>
                  <w:color w:val="0000FF"/>
                </w:rPr>
                <w:t>Restated Certificate of Incorporation of the Registrant</w:t>
              </w:r>
            </w:hyperlink>
          </w:p>
        </w:tc>
      </w:tr>
      <w:tr>
        <w:trPr>
          <w:trHeight w:val="277"/>
        </w:trPr>
        <w:tc>
          <w:tcPr>
            <w:tcW w:w="140" w:type="dxa"/>
            <w:vAlign w:val="bottom"/>
          </w:tcPr>
          <w:p>
            <w:pPr>
              <w:spacing w:after="0"/>
              <w:rPr>
                <w:sz w:val="24"/>
                <w:szCs w:val="24"/>
                <w:color w:val="auto"/>
              </w:rPr>
            </w:pPr>
          </w:p>
        </w:tc>
        <w:tc>
          <w:tcPr>
            <w:tcW w:w="3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3"/>
              </w:rPr>
            </w:pPr>
            <w:hyperlink r:id="rId17">
              <w:r>
                <w:rPr>
                  <w:rFonts w:ascii="Arial" w:cs="Arial" w:eastAsia="Arial" w:hAnsi="Arial"/>
                  <w:sz w:val="18"/>
                  <w:szCs w:val="18"/>
                  <w:color w:val="0000FF"/>
                  <w:w w:val="93"/>
                </w:rPr>
                <w:t>4.</w:t>
              </w:r>
              <w:r>
                <w:rPr>
                  <w:rFonts w:ascii="Arial" w:cs="Arial" w:eastAsia="Arial" w:hAnsi="Arial"/>
                  <w:sz w:val="18"/>
                  <w:szCs w:val="18"/>
                  <w:u w:val="single" w:color="auto"/>
                  <w:color w:val="0000FF"/>
                  <w:w w:val="93"/>
                </w:rPr>
                <w:t>2*</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9"/>
              </w:rPr>
            </w:pPr>
            <w:hyperlink r:id="rId17">
              <w:r>
                <w:rPr>
                  <w:rFonts w:ascii="Arial" w:cs="Arial" w:eastAsia="Arial" w:hAnsi="Arial"/>
                  <w:sz w:val="18"/>
                  <w:szCs w:val="18"/>
                  <w:color w:val="0000FF"/>
                  <w:w w:val="89"/>
                </w:rPr>
                <w:t>Amended and Restated By-Laws of the Registrant</w:t>
              </w:r>
            </w:hyperlink>
          </w:p>
        </w:tc>
        <w:tc>
          <w:tcPr>
            <w:tcW w:w="260" w:type="dxa"/>
            <w:vAlign w:val="bottom"/>
            <w:tcBorders>
              <w:top w:val="single" w:sz="8" w:color="0000FF"/>
            </w:tcBorders>
          </w:tcPr>
          <w:p>
            <w:pPr>
              <w:spacing w:after="0"/>
              <w:rPr>
                <w:sz w:val="24"/>
                <w:szCs w:val="24"/>
                <w:color w:val="auto"/>
              </w:rPr>
            </w:pPr>
          </w:p>
        </w:tc>
        <w:tc>
          <w:tcPr>
            <w:tcW w:w="2100" w:type="dxa"/>
            <w:vAlign w:val="bottom"/>
            <w:gridSpan w:val="3"/>
          </w:tcPr>
          <w:p>
            <w:pPr>
              <w:spacing w:after="0"/>
              <w:rPr>
                <w:sz w:val="24"/>
                <w:szCs w:val="24"/>
                <w:color w:val="auto"/>
              </w:rPr>
            </w:pPr>
          </w:p>
        </w:tc>
      </w:tr>
      <w:tr>
        <w:trPr>
          <w:trHeight w:val="277"/>
        </w:trPr>
        <w:tc>
          <w:tcPr>
            <w:tcW w:w="140" w:type="dxa"/>
            <w:vAlign w:val="bottom"/>
          </w:tcPr>
          <w:p>
            <w:pPr>
              <w:spacing w:after="0"/>
              <w:rPr>
                <w:sz w:val="24"/>
                <w:szCs w:val="24"/>
                <w:color w:val="auto"/>
              </w:rPr>
            </w:pPr>
          </w:p>
        </w:tc>
        <w:tc>
          <w:tcPr>
            <w:tcW w:w="320" w:type="dxa"/>
            <w:vAlign w:val="bottom"/>
            <w:gridSpan w:val="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5.</w:t>
              </w:r>
              <w:r>
                <w:rPr>
                  <w:rFonts w:ascii="Arial" w:cs="Arial" w:eastAsia="Arial" w:hAnsi="Arial"/>
                  <w:sz w:val="18"/>
                  <w:szCs w:val="18"/>
                  <w:u w:val="single" w:color="auto"/>
                  <w:color w:val="0000FF"/>
                </w:rPr>
                <w:t>1</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980" w:type="dxa"/>
            <w:vAlign w:val="bottom"/>
            <w:gridSpan w:val="9"/>
          </w:tcPr>
          <w:p>
            <w:pPr>
              <w:spacing w:after="0"/>
              <w:rPr>
                <w:rFonts w:ascii="Arial" w:cs="Arial" w:eastAsia="Arial" w:hAnsi="Arial"/>
                <w:sz w:val="18"/>
                <w:szCs w:val="18"/>
                <w:color w:val="0000FF"/>
                <w:w w:val="93"/>
              </w:rPr>
            </w:pPr>
            <w:hyperlink w:anchor="page5">
              <w:r>
                <w:rPr>
                  <w:rFonts w:ascii="Arial" w:cs="Arial" w:eastAsia="Arial" w:hAnsi="Arial"/>
                  <w:sz w:val="18"/>
                  <w:szCs w:val="18"/>
                  <w:color w:val="0000FF"/>
                  <w:w w:val="93"/>
                </w:rPr>
                <w:t>Opinion of Wilmer Cutler Pickering Hale and Dorr LLP, counsel to the Registrant</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140" w:type="dxa"/>
            <w:vAlign w:val="bottom"/>
          </w:tcPr>
          <w:p>
            <w:pPr>
              <w:spacing w:after="0"/>
              <w:rPr>
                <w:sz w:val="24"/>
                <w:szCs w:val="24"/>
                <w:color w:val="auto"/>
              </w:rPr>
            </w:pPr>
          </w:p>
        </w:tc>
        <w:tc>
          <w:tcPr>
            <w:tcW w:w="320" w:type="dxa"/>
            <w:vAlign w:val="bottom"/>
            <w:gridSpan w:val="2"/>
          </w:tcPr>
          <w:p>
            <w:pPr>
              <w:spacing w:after="0"/>
              <w:rPr>
                <w:rFonts w:ascii="Arial" w:cs="Arial" w:eastAsia="Arial" w:hAnsi="Arial"/>
                <w:sz w:val="18"/>
                <w:szCs w:val="18"/>
                <w:color w:val="0000FF"/>
                <w:w w:val="85"/>
              </w:rPr>
            </w:pPr>
            <w:hyperlink w:anchor="page5">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980" w:type="dxa"/>
            <w:vAlign w:val="bottom"/>
            <w:gridSpan w:val="9"/>
          </w:tcPr>
          <w:p>
            <w:pPr>
              <w:spacing w:after="0"/>
              <w:rPr>
                <w:rFonts w:ascii="Arial" w:cs="Arial" w:eastAsia="Arial" w:hAnsi="Arial"/>
                <w:sz w:val="18"/>
                <w:szCs w:val="18"/>
                <w:color w:val="0000FF"/>
                <w:w w:val="95"/>
              </w:rPr>
            </w:pPr>
            <w:hyperlink w:anchor="page5">
              <w:r>
                <w:rPr>
                  <w:rFonts w:ascii="Arial" w:cs="Arial" w:eastAsia="Arial" w:hAnsi="Arial"/>
                  <w:sz w:val="18"/>
                  <w:szCs w:val="18"/>
                  <w:color w:val="0000FF"/>
                  <w:w w:val="95"/>
                </w:rPr>
                <w:t>Consent of Wilmer Cutler Pickering Hale and Dorr LLP (included in Exhibit 5.1)</w:t>
              </w:r>
            </w:hyperlink>
          </w:p>
        </w:tc>
      </w:tr>
      <w:tr>
        <w:trPr>
          <w:trHeight w:val="277"/>
        </w:trPr>
        <w:tc>
          <w:tcPr>
            <w:tcW w:w="140" w:type="dxa"/>
            <w:vAlign w:val="bottom"/>
          </w:tcPr>
          <w:p>
            <w:pPr>
              <w:spacing w:after="0"/>
              <w:rPr>
                <w:sz w:val="24"/>
                <w:szCs w:val="24"/>
                <w:color w:val="auto"/>
              </w:rPr>
            </w:pPr>
          </w:p>
        </w:tc>
        <w:tc>
          <w:tcPr>
            <w:tcW w:w="320" w:type="dxa"/>
            <w:vAlign w:val="bottom"/>
            <w:tcBorders>
              <w:top w:val="single" w:sz="8" w:color="0000FF"/>
            </w:tcBorders>
            <w:gridSpan w:val="2"/>
          </w:tcPr>
          <w:p>
            <w:pPr>
              <w:spacing w:after="0"/>
              <w:rPr>
                <w:rFonts w:ascii="Arial" w:cs="Arial" w:eastAsia="Arial" w:hAnsi="Arial"/>
                <w:sz w:val="18"/>
                <w:szCs w:val="18"/>
                <w:color w:val="0000FF"/>
                <w:w w:val="85"/>
              </w:rPr>
            </w:pPr>
            <w:hyperlink w:anchor="page7">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2</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880" w:type="dxa"/>
            <w:vAlign w:val="bottom"/>
            <w:tcBorders>
              <w:top w:val="single" w:sz="8" w:color="0000FF"/>
            </w:tcBorders>
            <w:gridSpan w:val="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Consent of Ernst &amp;Young LLP</w:t>
              </w:r>
            </w:hyperlink>
          </w:p>
        </w:tc>
        <w:tc>
          <w:tcPr>
            <w:tcW w:w="10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77"/>
        </w:trPr>
        <w:tc>
          <w:tcPr>
            <w:tcW w:w="140" w:type="dxa"/>
            <w:vAlign w:val="bottom"/>
          </w:tcPr>
          <w:p>
            <w:pPr>
              <w:spacing w:after="0"/>
              <w:rPr>
                <w:sz w:val="24"/>
                <w:szCs w:val="24"/>
                <w:color w:val="auto"/>
              </w:rPr>
            </w:pPr>
          </w:p>
        </w:tc>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8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Power of attorney (included on the signature pages of this registration statement)</w:t>
              </w:r>
            </w:hyperlink>
          </w:p>
        </w:tc>
        <w:tc>
          <w:tcPr>
            <w:tcW w:w="160" w:type="dxa"/>
            <w:vAlign w:val="bottom"/>
            <w:gridSpan w:val="2"/>
          </w:tcPr>
          <w:p>
            <w:pPr>
              <w:spacing w:after="0"/>
              <w:rPr>
                <w:sz w:val="24"/>
                <w:szCs w:val="24"/>
                <w:color w:val="auto"/>
              </w:rPr>
            </w:pPr>
          </w:p>
        </w:tc>
      </w:tr>
      <w:tr>
        <w:trPr>
          <w:trHeight w:val="277"/>
        </w:trPr>
        <w:tc>
          <w:tcPr>
            <w:tcW w:w="140" w:type="dxa"/>
            <w:vAlign w:val="bottom"/>
          </w:tcPr>
          <w:p>
            <w:pPr>
              <w:spacing w:after="0"/>
              <w:rPr>
                <w:sz w:val="24"/>
                <w:szCs w:val="24"/>
                <w:color w:val="auto"/>
              </w:rPr>
            </w:pPr>
          </w:p>
        </w:tc>
        <w:tc>
          <w:tcPr>
            <w:tcW w:w="500" w:type="dxa"/>
            <w:vAlign w:val="bottom"/>
            <w:gridSpan w:val="3"/>
          </w:tcPr>
          <w:p>
            <w:pPr>
              <w:spacing w:after="0"/>
              <w:rPr>
                <w:rFonts w:ascii="Arial" w:cs="Arial" w:eastAsia="Arial" w:hAnsi="Arial"/>
                <w:sz w:val="18"/>
                <w:szCs w:val="18"/>
                <w:color w:val="0000FF"/>
                <w:w w:val="97"/>
              </w:rPr>
            </w:pPr>
            <w:hyperlink r:id="rId18">
              <w:r>
                <w:rPr>
                  <w:rFonts w:ascii="Arial" w:cs="Arial" w:eastAsia="Arial" w:hAnsi="Arial"/>
                  <w:sz w:val="18"/>
                  <w:szCs w:val="18"/>
                  <w:color w:val="0000FF"/>
                  <w:w w:val="97"/>
                </w:rPr>
                <w:t>99.</w:t>
              </w:r>
              <w:r>
                <w:rPr>
                  <w:rFonts w:ascii="Arial" w:cs="Arial" w:eastAsia="Arial" w:hAnsi="Arial"/>
                  <w:sz w:val="18"/>
                  <w:szCs w:val="18"/>
                  <w:u w:val="single" w:color="auto"/>
                  <w:color w:val="0000FF"/>
                  <w:w w:val="97"/>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980" w:type="dxa"/>
            <w:vAlign w:val="bottom"/>
            <w:gridSpan w:val="9"/>
          </w:tcPr>
          <w:p>
            <w:pPr>
              <w:spacing w:after="0"/>
              <w:rPr>
                <w:rFonts w:ascii="Arial" w:cs="Arial" w:eastAsia="Arial" w:hAnsi="Arial"/>
                <w:sz w:val="18"/>
                <w:szCs w:val="18"/>
                <w:color w:val="0000FF"/>
              </w:rPr>
            </w:pPr>
            <w:hyperlink r:id="rId18">
              <w:r>
                <w:rPr>
                  <w:rFonts w:ascii="Arial" w:cs="Arial" w:eastAsia="Arial" w:hAnsi="Arial"/>
                  <w:sz w:val="18"/>
                  <w:szCs w:val="18"/>
                  <w:color w:val="0000FF"/>
                </w:rPr>
                <w:t>2013 Stock Incentive Plan</w:t>
              </w:r>
            </w:hyperlink>
          </w:p>
        </w:tc>
      </w:tr>
      <w:tr>
        <w:trPr>
          <w:trHeight w:val="20"/>
        </w:trPr>
        <w:tc>
          <w:tcPr>
            <w:tcW w:w="14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r>
      <w:tr>
        <w:trPr>
          <w:trHeight w:val="277"/>
        </w:trPr>
        <w:tc>
          <w:tcPr>
            <w:tcW w:w="140" w:type="dxa"/>
            <w:vAlign w:val="bottom"/>
          </w:tcPr>
          <w:p>
            <w:pPr>
              <w:spacing w:after="0"/>
              <w:rPr>
                <w:sz w:val="24"/>
                <w:szCs w:val="24"/>
                <w:color w:val="auto"/>
              </w:rPr>
            </w:pPr>
          </w:p>
        </w:tc>
        <w:tc>
          <w:tcPr>
            <w:tcW w:w="580" w:type="dxa"/>
            <w:vAlign w:val="bottom"/>
            <w:tcBorders>
              <w:bottom w:val="single" w:sz="8" w:color="0000FF"/>
            </w:tcBorders>
            <w:gridSpan w:val="4"/>
          </w:tcPr>
          <w:p>
            <w:pPr>
              <w:spacing w:after="0"/>
              <w:rPr>
                <w:rFonts w:ascii="Arial" w:cs="Arial" w:eastAsia="Arial" w:hAnsi="Arial"/>
                <w:sz w:val="18"/>
                <w:szCs w:val="18"/>
                <w:color w:val="0000FF"/>
                <w:w w:val="99"/>
              </w:rPr>
            </w:pPr>
            <w:hyperlink r:id="rId19">
              <w:r>
                <w:rPr>
                  <w:rFonts w:ascii="Arial" w:cs="Arial" w:eastAsia="Arial" w:hAnsi="Arial"/>
                  <w:sz w:val="18"/>
                  <w:szCs w:val="18"/>
                  <w:color w:val="0000FF"/>
                  <w:w w:val="99"/>
                </w:rPr>
                <w:t>99.</w:t>
              </w:r>
              <w:r>
                <w:rPr>
                  <w:rFonts w:ascii="Arial" w:cs="Arial" w:eastAsia="Arial" w:hAnsi="Arial"/>
                  <w:sz w:val="18"/>
                  <w:szCs w:val="18"/>
                  <w:u w:val="single" w:color="auto"/>
                  <w:color w:val="0000FF"/>
                  <w:w w:val="99"/>
                </w:rPr>
                <w:t>2***</w:t>
              </w:r>
            </w:hyperlink>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60" w:type="dxa"/>
            <w:vAlign w:val="bottom"/>
            <w:tcBorders>
              <w:bottom w:val="single" w:sz="8" w:color="0000FF"/>
            </w:tcBorders>
            <w:gridSpan w:val="4"/>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Amendment No. 1 to 2013 Stock Incentive Plan</w:t>
              </w:r>
            </w:hyperlink>
          </w:p>
        </w:tc>
        <w:tc>
          <w:tcPr>
            <w:tcW w:w="2520" w:type="dxa"/>
            <w:vAlign w:val="bottom"/>
            <w:gridSpan w:val="5"/>
          </w:tcPr>
          <w:p>
            <w:pPr>
              <w:spacing w:after="0"/>
              <w:rPr>
                <w:sz w:val="24"/>
                <w:szCs w:val="24"/>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____________</w:t>
      </w:r>
    </w:p>
    <w:p>
      <w:pPr>
        <w:spacing w:after="0" w:line="245" w:lineRule="exact"/>
        <w:rPr>
          <w:sz w:val="20"/>
          <w:szCs w:val="20"/>
          <w:color w:val="auto"/>
        </w:rPr>
      </w:pPr>
    </w:p>
    <w:p>
      <w:pPr>
        <w:ind w:left="660" w:right="60" w:hanging="652"/>
        <w:spacing w:after="0" w:line="277" w:lineRule="auto"/>
        <w:tabs>
          <w:tab w:leader="none" w:pos="147"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 as an Exhibit to the Registrant’s Registration Statement on Form S-1 (File No. 333-190643) on September 9, 2013 and incorporated herein by reference.</w:t>
      </w:r>
    </w:p>
    <w:p>
      <w:pPr>
        <w:spacing w:after="0" w:line="170" w:lineRule="exact"/>
        <w:rPr>
          <w:sz w:val="20"/>
          <w:szCs w:val="20"/>
          <w:color w:val="auto"/>
        </w:rPr>
      </w:pPr>
    </w:p>
    <w:p>
      <w:pPr>
        <w:ind w:left="660" w:right="740" w:hanging="652"/>
        <w:spacing w:after="0" w:line="277" w:lineRule="auto"/>
        <w:tabs>
          <w:tab w:leader="none" w:pos="237"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 as an Exhibit to the Registrant’s Annual Report on Form 10-K for the year ended December 31, 2014 and incorporated herein by reference.</w:t>
      </w:r>
    </w:p>
    <w:p>
      <w:pPr>
        <w:spacing w:after="0" w:line="170" w:lineRule="exact"/>
        <w:rPr>
          <w:rFonts w:ascii="Arial" w:cs="Arial" w:eastAsia="Arial" w:hAnsi="Arial"/>
          <w:sz w:val="18"/>
          <w:szCs w:val="18"/>
          <w:color w:val="auto"/>
        </w:rPr>
      </w:pPr>
    </w:p>
    <w:p>
      <w:pPr>
        <w:ind w:left="660" w:right="44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Previously filed with the Securities and Exchange Commission as an Exhibit to the Registrant’s Quarterly Report on Form 10-Q for the quarter ended June 30, 2015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607" w:right="2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all of the requirements for filing on Form S-8 and has duly caused this Registration Statement to be signed on its behalf by the undersigned, thereunto duly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authorized, in the City of New York, State of New York, on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28th day of February, 2019.</w:t>
      </w:r>
    </w:p>
    <w:p>
      <w:pPr>
        <w:spacing w:after="0" w:line="18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OPHTHOTECH CORPORATION</w:t>
      </w:r>
    </w:p>
    <w:p>
      <w:pPr>
        <w:spacing w:after="0" w:line="306"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48895</wp:posOffset>
            </wp:positionV>
            <wp:extent cx="32416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8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Glenn P. Sblendorio</w:t>
      </w:r>
    </w:p>
    <w:p>
      <w:pPr>
        <w:spacing w:after="0" w:line="9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President and Chief Executive Officer</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80"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0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the undersigned officers and directors of Ophthotech Corporation, hereby severally constitute and appoint Glenn P. Sblendorio and David F. Carroll,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Ophthotech Corporation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11"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ind w:left="1460"/>
              <w:spacing w:after="0"/>
              <w:rPr>
                <w:sz w:val="20"/>
                <w:szCs w:val="20"/>
                <w:color w:val="auto"/>
              </w:rPr>
            </w:pPr>
            <w:r>
              <w:rPr>
                <w:rFonts w:ascii="Arial" w:cs="Arial" w:eastAsia="Arial" w:hAnsi="Arial"/>
                <w:sz w:val="14"/>
                <w:szCs w:val="14"/>
                <w:b w:val="1"/>
                <w:bCs w:val="1"/>
                <w:color w:val="auto"/>
              </w:rPr>
              <w:t>Signature</w:t>
            </w:r>
          </w:p>
        </w:tc>
        <w:tc>
          <w:tcPr>
            <w:tcW w:w="340" w:type="dxa"/>
            <w:vAlign w:val="bottom"/>
          </w:tcPr>
          <w:p>
            <w:pPr>
              <w:spacing w:after="0"/>
              <w:rPr>
                <w:sz w:val="16"/>
                <w:szCs w:val="16"/>
                <w:color w:val="auto"/>
              </w:rPr>
            </w:pPr>
          </w:p>
        </w:tc>
        <w:tc>
          <w:tcPr>
            <w:tcW w:w="5240" w:type="dxa"/>
            <w:vAlign w:val="bottom"/>
            <w:gridSpan w:val="2"/>
          </w:tcPr>
          <w:p>
            <w:pPr>
              <w:ind w:left="2340"/>
              <w:spacing w:after="0"/>
              <w:rPr>
                <w:sz w:val="20"/>
                <w:szCs w:val="20"/>
                <w:color w:val="auto"/>
              </w:rPr>
            </w:pPr>
            <w:r>
              <w:rPr>
                <w:rFonts w:ascii="Arial" w:cs="Arial" w:eastAsia="Arial" w:hAnsi="Arial"/>
                <w:sz w:val="14"/>
                <w:szCs w:val="14"/>
                <w:b w:val="1"/>
                <w:bCs w:val="1"/>
                <w:color w:val="auto"/>
              </w:rPr>
              <w:t>Title</w:t>
            </w:r>
          </w:p>
        </w:tc>
        <w:tc>
          <w:tcPr>
            <w:tcW w:w="2400" w:type="dxa"/>
            <w:vAlign w:val="bottom"/>
          </w:tcPr>
          <w:p>
            <w:pPr>
              <w:ind w:left="10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9"/>
        </w:trPr>
        <w:tc>
          <w:tcPr>
            <w:tcW w:w="34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9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19"/>
        </w:trPr>
        <w:tc>
          <w:tcPr>
            <w:tcW w:w="3440" w:type="dxa"/>
            <w:vAlign w:val="bottom"/>
          </w:tcPr>
          <w:p>
            <w:pPr>
              <w:ind w:left="80"/>
              <w:spacing w:after="0"/>
              <w:rPr>
                <w:sz w:val="20"/>
                <w:szCs w:val="20"/>
                <w:color w:val="auto"/>
              </w:rPr>
            </w:pPr>
            <w:r>
              <w:rPr>
                <w:rFonts w:ascii="Arial" w:cs="Arial" w:eastAsia="Arial" w:hAnsi="Arial"/>
                <w:sz w:val="18"/>
                <w:szCs w:val="18"/>
                <w:color w:val="auto"/>
              </w:rPr>
              <w:t>/s/ Glenn P. Sblendorio</w:t>
            </w:r>
          </w:p>
        </w:tc>
        <w:tc>
          <w:tcPr>
            <w:tcW w:w="340" w:type="dxa"/>
            <w:vAlign w:val="bottom"/>
          </w:tcPr>
          <w:p>
            <w:pPr>
              <w:spacing w:after="0"/>
              <w:rPr>
                <w:sz w:val="24"/>
                <w:szCs w:val="24"/>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President, Chief Executive Officer and Director (principal</w:t>
            </w:r>
          </w:p>
        </w:tc>
        <w:tc>
          <w:tcPr>
            <w:tcW w:w="2400" w:type="dxa"/>
            <w:vAlign w:val="bottom"/>
          </w:tcPr>
          <w:p>
            <w:pPr>
              <w:ind w:left="100"/>
              <w:spacing w:after="0"/>
              <w:rPr>
                <w:sz w:val="20"/>
                <w:szCs w:val="20"/>
                <w:color w:val="auto"/>
              </w:rPr>
            </w:pPr>
            <w:r>
              <w:rPr>
                <w:rFonts w:ascii="Arial" w:cs="Arial" w:eastAsia="Arial" w:hAnsi="Arial"/>
                <w:sz w:val="18"/>
                <w:szCs w:val="18"/>
                <w:color w:val="auto"/>
              </w:rPr>
              <w:t>February 28, 2019</w:t>
            </w:r>
          </w:p>
        </w:tc>
        <w:tc>
          <w:tcPr>
            <w:tcW w:w="0" w:type="dxa"/>
            <w:vAlign w:val="bottom"/>
          </w:tcPr>
          <w:p>
            <w:pPr>
              <w:spacing w:after="0"/>
              <w:rPr>
                <w:sz w:val="1"/>
                <w:szCs w:val="1"/>
                <w:color w:val="auto"/>
              </w:rPr>
            </w:pPr>
          </w:p>
        </w:tc>
      </w:tr>
      <w:tr>
        <w:trPr>
          <w:trHeight w:val="68"/>
        </w:trPr>
        <w:tc>
          <w:tcPr>
            <w:tcW w:w="3440" w:type="dxa"/>
            <w:vAlign w:val="bottom"/>
            <w:tcBorders>
              <w:bottom w:val="single" w:sz="8" w:color="auto"/>
            </w:tcBorders>
          </w:tcPr>
          <w:p>
            <w:pPr>
              <w:spacing w:after="0"/>
              <w:rPr>
                <w:sz w:val="5"/>
                <w:szCs w:val="5"/>
                <w:color w:val="auto"/>
              </w:rPr>
            </w:pPr>
          </w:p>
        </w:tc>
        <w:tc>
          <w:tcPr>
            <w:tcW w:w="340" w:type="dxa"/>
            <w:vAlign w:val="bottom"/>
            <w:vMerge w:val="restart"/>
          </w:tcPr>
          <w:p>
            <w:pPr>
              <w:spacing w:after="0"/>
              <w:rPr>
                <w:sz w:val="5"/>
                <w:szCs w:val="5"/>
                <w:color w:val="auto"/>
              </w:rPr>
            </w:pPr>
          </w:p>
        </w:tc>
        <w:tc>
          <w:tcPr>
            <w:tcW w:w="5240" w:type="dxa"/>
            <w:vAlign w:val="bottom"/>
            <w:gridSpan w:val="2"/>
            <w:vMerge w:val="restart"/>
          </w:tcPr>
          <w:p>
            <w:pPr>
              <w:ind w:left="100"/>
              <w:spacing w:after="0"/>
              <w:rPr>
                <w:sz w:val="20"/>
                <w:szCs w:val="20"/>
                <w:color w:val="auto"/>
              </w:rPr>
            </w:pPr>
            <w:r>
              <w:rPr>
                <w:rFonts w:ascii="Arial" w:cs="Arial" w:eastAsia="Arial" w:hAnsi="Arial"/>
                <w:sz w:val="18"/>
                <w:szCs w:val="18"/>
                <w:color w:val="auto"/>
              </w:rPr>
              <w:t>executive officer)</w:t>
            </w: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440" w:type="dxa"/>
            <w:vAlign w:val="bottom"/>
            <w:vMerge w:val="restart"/>
          </w:tcPr>
          <w:p>
            <w:pPr>
              <w:ind w:left="80"/>
              <w:spacing w:after="0"/>
              <w:rPr>
                <w:sz w:val="20"/>
                <w:szCs w:val="20"/>
                <w:color w:val="auto"/>
              </w:rPr>
            </w:pPr>
            <w:r>
              <w:rPr>
                <w:rFonts w:ascii="Arial" w:cs="Arial" w:eastAsia="Arial" w:hAnsi="Arial"/>
                <w:sz w:val="18"/>
                <w:szCs w:val="18"/>
                <w:color w:val="auto"/>
              </w:rPr>
              <w:t>Glenn P. Sblendorio</w:t>
            </w:r>
          </w:p>
        </w:tc>
        <w:tc>
          <w:tcPr>
            <w:tcW w:w="340" w:type="dxa"/>
            <w:vAlign w:val="bottom"/>
            <w:vMerge w:val="continue"/>
          </w:tcPr>
          <w:p>
            <w:pPr>
              <w:spacing w:after="0"/>
              <w:rPr>
                <w:sz w:val="12"/>
                <w:szCs w:val="12"/>
                <w:color w:val="auto"/>
              </w:rPr>
            </w:pPr>
          </w:p>
        </w:tc>
        <w:tc>
          <w:tcPr>
            <w:tcW w:w="5240" w:type="dxa"/>
            <w:vAlign w:val="bottom"/>
            <w:gridSpan w:val="2"/>
            <w:vMerge w:val="continue"/>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44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4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0"/>
        </w:trPr>
        <w:tc>
          <w:tcPr>
            <w:tcW w:w="3440" w:type="dxa"/>
            <w:vAlign w:val="bottom"/>
          </w:tcPr>
          <w:p>
            <w:pPr>
              <w:ind w:left="80"/>
              <w:spacing w:after="0"/>
              <w:rPr>
                <w:sz w:val="20"/>
                <w:szCs w:val="20"/>
                <w:color w:val="auto"/>
              </w:rPr>
            </w:pPr>
            <w:r>
              <w:rPr>
                <w:rFonts w:ascii="Arial" w:cs="Arial" w:eastAsia="Arial" w:hAnsi="Arial"/>
                <w:sz w:val="18"/>
                <w:szCs w:val="18"/>
                <w:color w:val="auto"/>
              </w:rPr>
              <w:t>/s/ David F. Carroll</w:t>
            </w:r>
          </w:p>
        </w:tc>
        <w:tc>
          <w:tcPr>
            <w:tcW w:w="340" w:type="dxa"/>
            <w:vAlign w:val="bottom"/>
          </w:tcPr>
          <w:p>
            <w:pPr>
              <w:spacing w:after="0"/>
              <w:rPr>
                <w:sz w:val="24"/>
                <w:szCs w:val="24"/>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Senior Vice President, Chief Financial Officer and Treasurer</w:t>
            </w:r>
          </w:p>
        </w:tc>
        <w:tc>
          <w:tcPr>
            <w:tcW w:w="2400" w:type="dxa"/>
            <w:vAlign w:val="bottom"/>
          </w:tcPr>
          <w:p>
            <w:pPr>
              <w:ind w:left="100"/>
              <w:spacing w:after="0"/>
              <w:rPr>
                <w:sz w:val="20"/>
                <w:szCs w:val="20"/>
                <w:color w:val="auto"/>
              </w:rPr>
            </w:pPr>
            <w:r>
              <w:rPr>
                <w:rFonts w:ascii="Arial" w:cs="Arial" w:eastAsia="Arial" w:hAnsi="Arial"/>
                <w:sz w:val="18"/>
                <w:szCs w:val="18"/>
                <w:color w:val="auto"/>
              </w:rPr>
              <w:t>February 28, 2019</w:t>
            </w:r>
          </w:p>
        </w:tc>
        <w:tc>
          <w:tcPr>
            <w:tcW w:w="0" w:type="dxa"/>
            <w:vAlign w:val="bottom"/>
          </w:tcPr>
          <w:p>
            <w:pPr>
              <w:spacing w:after="0"/>
              <w:rPr>
                <w:sz w:val="1"/>
                <w:szCs w:val="1"/>
                <w:color w:val="auto"/>
              </w:rPr>
            </w:pPr>
          </w:p>
        </w:tc>
      </w:tr>
      <w:tr>
        <w:trPr>
          <w:trHeight w:val="68"/>
        </w:trPr>
        <w:tc>
          <w:tcPr>
            <w:tcW w:w="3440" w:type="dxa"/>
            <w:vAlign w:val="bottom"/>
            <w:tcBorders>
              <w:bottom w:val="single" w:sz="8" w:color="auto"/>
            </w:tcBorders>
          </w:tcPr>
          <w:p>
            <w:pPr>
              <w:spacing w:after="0"/>
              <w:rPr>
                <w:sz w:val="5"/>
                <w:szCs w:val="5"/>
                <w:color w:val="auto"/>
              </w:rPr>
            </w:pPr>
          </w:p>
        </w:tc>
        <w:tc>
          <w:tcPr>
            <w:tcW w:w="340" w:type="dxa"/>
            <w:vAlign w:val="bottom"/>
            <w:vMerge w:val="restart"/>
          </w:tcPr>
          <w:p>
            <w:pPr>
              <w:spacing w:after="0"/>
              <w:rPr>
                <w:sz w:val="5"/>
                <w:szCs w:val="5"/>
                <w:color w:val="auto"/>
              </w:rPr>
            </w:pPr>
          </w:p>
        </w:tc>
        <w:tc>
          <w:tcPr>
            <w:tcW w:w="5240" w:type="dxa"/>
            <w:vAlign w:val="bottom"/>
            <w:gridSpan w:val="2"/>
            <w:vMerge w:val="restart"/>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440" w:type="dxa"/>
            <w:vAlign w:val="bottom"/>
            <w:vMerge w:val="restart"/>
          </w:tcPr>
          <w:p>
            <w:pPr>
              <w:ind w:left="80"/>
              <w:spacing w:after="0"/>
              <w:rPr>
                <w:sz w:val="20"/>
                <w:szCs w:val="20"/>
                <w:color w:val="auto"/>
              </w:rPr>
            </w:pPr>
            <w:r>
              <w:rPr>
                <w:rFonts w:ascii="Arial" w:cs="Arial" w:eastAsia="Arial" w:hAnsi="Arial"/>
                <w:sz w:val="18"/>
                <w:szCs w:val="18"/>
                <w:color w:val="auto"/>
              </w:rPr>
              <w:t>David F. Carroll</w:t>
            </w:r>
          </w:p>
        </w:tc>
        <w:tc>
          <w:tcPr>
            <w:tcW w:w="340" w:type="dxa"/>
            <w:vAlign w:val="bottom"/>
            <w:vMerge w:val="continue"/>
          </w:tcPr>
          <w:p>
            <w:pPr>
              <w:spacing w:after="0"/>
              <w:rPr>
                <w:sz w:val="12"/>
                <w:szCs w:val="12"/>
                <w:color w:val="auto"/>
              </w:rPr>
            </w:pPr>
          </w:p>
        </w:tc>
        <w:tc>
          <w:tcPr>
            <w:tcW w:w="5240" w:type="dxa"/>
            <w:vAlign w:val="bottom"/>
            <w:gridSpan w:val="2"/>
            <w:vMerge w:val="continue"/>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4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7"/>
        </w:trPr>
        <w:tc>
          <w:tcPr>
            <w:tcW w:w="3440" w:type="dxa"/>
            <w:vAlign w:val="bottom"/>
          </w:tcPr>
          <w:p>
            <w:pPr>
              <w:ind w:left="80"/>
              <w:spacing w:after="0"/>
              <w:rPr>
                <w:sz w:val="20"/>
                <w:szCs w:val="20"/>
                <w:color w:val="auto"/>
              </w:rPr>
            </w:pPr>
            <w:r>
              <w:rPr>
                <w:rFonts w:ascii="Arial" w:cs="Arial" w:eastAsia="Arial" w:hAnsi="Arial"/>
                <w:sz w:val="18"/>
                <w:szCs w:val="18"/>
                <w:color w:val="auto"/>
              </w:rPr>
              <w:t>/s/ David R. Guyer</w:t>
            </w:r>
          </w:p>
        </w:tc>
        <w:tc>
          <w:tcPr>
            <w:tcW w:w="340" w:type="dxa"/>
            <w:vAlign w:val="bottom"/>
          </w:tcPr>
          <w:p>
            <w:pPr>
              <w:spacing w:after="0"/>
              <w:rPr>
                <w:sz w:val="24"/>
                <w:szCs w:val="24"/>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Executive Chairman of the Board of Directors</w:t>
            </w:r>
          </w:p>
        </w:tc>
        <w:tc>
          <w:tcPr>
            <w:tcW w:w="2400" w:type="dxa"/>
            <w:vAlign w:val="bottom"/>
          </w:tcPr>
          <w:p>
            <w:pPr>
              <w:ind w:left="100"/>
              <w:spacing w:after="0"/>
              <w:rPr>
                <w:sz w:val="20"/>
                <w:szCs w:val="20"/>
                <w:color w:val="auto"/>
              </w:rPr>
            </w:pPr>
            <w:r>
              <w:rPr>
                <w:rFonts w:ascii="Arial" w:cs="Arial" w:eastAsia="Arial" w:hAnsi="Arial"/>
                <w:sz w:val="18"/>
                <w:szCs w:val="18"/>
                <w:color w:val="auto"/>
              </w:rPr>
              <w:t>February 28, 2019</w:t>
            </w:r>
          </w:p>
        </w:tc>
        <w:tc>
          <w:tcPr>
            <w:tcW w:w="0" w:type="dxa"/>
            <w:vAlign w:val="bottom"/>
          </w:tcPr>
          <w:p>
            <w:pPr>
              <w:spacing w:after="0"/>
              <w:rPr>
                <w:sz w:val="1"/>
                <w:szCs w:val="1"/>
                <w:color w:val="auto"/>
              </w:rPr>
            </w:pPr>
          </w:p>
        </w:tc>
      </w:tr>
      <w:tr>
        <w:trPr>
          <w:trHeight w:val="54"/>
        </w:trPr>
        <w:tc>
          <w:tcPr>
            <w:tcW w:w="344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80"/>
              <w:spacing w:after="0"/>
              <w:rPr>
                <w:sz w:val="20"/>
                <w:szCs w:val="20"/>
                <w:color w:val="auto"/>
              </w:rPr>
            </w:pPr>
            <w:r>
              <w:rPr>
                <w:rFonts w:ascii="Arial" w:cs="Arial" w:eastAsia="Arial" w:hAnsi="Arial"/>
                <w:sz w:val="18"/>
                <w:szCs w:val="18"/>
                <w:color w:val="auto"/>
              </w:rPr>
              <w:t>David R. Guyer, M.D.</w:t>
            </w:r>
          </w:p>
        </w:tc>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440" w:type="dxa"/>
            <w:vAlign w:val="bottom"/>
          </w:tcPr>
          <w:p>
            <w:pPr>
              <w:ind w:left="80"/>
              <w:spacing w:after="0"/>
              <w:rPr>
                <w:sz w:val="20"/>
                <w:szCs w:val="20"/>
                <w:color w:val="auto"/>
              </w:rPr>
            </w:pPr>
            <w:r>
              <w:rPr>
                <w:rFonts w:ascii="Arial" w:cs="Arial" w:eastAsia="Arial" w:hAnsi="Arial"/>
                <w:sz w:val="18"/>
                <w:szCs w:val="18"/>
                <w:color w:val="auto"/>
              </w:rPr>
              <w:t>/s/ Axel Bolte</w:t>
            </w:r>
          </w:p>
        </w:tc>
        <w:tc>
          <w:tcPr>
            <w:tcW w:w="340" w:type="dxa"/>
            <w:vAlign w:val="bottom"/>
          </w:tcPr>
          <w:p>
            <w:pPr>
              <w:spacing w:after="0"/>
              <w:rPr>
                <w:sz w:val="24"/>
                <w:szCs w:val="24"/>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00"/>
              <w:spacing w:after="0"/>
              <w:rPr>
                <w:sz w:val="20"/>
                <w:szCs w:val="20"/>
                <w:color w:val="auto"/>
              </w:rPr>
            </w:pPr>
            <w:r>
              <w:rPr>
                <w:rFonts w:ascii="Arial" w:cs="Arial" w:eastAsia="Arial" w:hAnsi="Arial"/>
                <w:sz w:val="18"/>
                <w:szCs w:val="18"/>
                <w:color w:val="auto"/>
              </w:rPr>
              <w:t>February 28, 2019</w:t>
            </w:r>
          </w:p>
        </w:tc>
        <w:tc>
          <w:tcPr>
            <w:tcW w:w="0" w:type="dxa"/>
            <w:vAlign w:val="bottom"/>
          </w:tcPr>
          <w:p>
            <w:pPr>
              <w:spacing w:after="0"/>
              <w:rPr>
                <w:sz w:val="1"/>
                <w:szCs w:val="1"/>
                <w:color w:val="auto"/>
              </w:rPr>
            </w:pPr>
          </w:p>
        </w:tc>
      </w:tr>
      <w:tr>
        <w:trPr>
          <w:trHeight w:val="54"/>
        </w:trPr>
        <w:tc>
          <w:tcPr>
            <w:tcW w:w="344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80"/>
              <w:spacing w:after="0"/>
              <w:rPr>
                <w:sz w:val="20"/>
                <w:szCs w:val="20"/>
                <w:color w:val="auto"/>
              </w:rPr>
            </w:pPr>
            <w:r>
              <w:rPr>
                <w:rFonts w:ascii="Arial" w:cs="Arial" w:eastAsia="Arial" w:hAnsi="Arial"/>
                <w:sz w:val="18"/>
                <w:szCs w:val="18"/>
                <w:color w:val="auto"/>
              </w:rPr>
              <w:t>Axel Bolte</w:t>
            </w:r>
          </w:p>
        </w:tc>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440" w:type="dxa"/>
            <w:vAlign w:val="bottom"/>
          </w:tcPr>
          <w:p>
            <w:pPr>
              <w:ind w:left="80"/>
              <w:spacing w:after="0"/>
              <w:rPr>
                <w:sz w:val="20"/>
                <w:szCs w:val="20"/>
                <w:color w:val="auto"/>
              </w:rPr>
            </w:pPr>
            <w:r>
              <w:rPr>
                <w:rFonts w:ascii="Arial" w:cs="Arial" w:eastAsia="Arial" w:hAnsi="Arial"/>
                <w:sz w:val="18"/>
                <w:szCs w:val="18"/>
                <w:color w:val="auto"/>
              </w:rPr>
              <w:t>/s/ Thomas Dyrberg</w:t>
            </w:r>
          </w:p>
        </w:tc>
        <w:tc>
          <w:tcPr>
            <w:tcW w:w="340" w:type="dxa"/>
            <w:vAlign w:val="bottom"/>
          </w:tcPr>
          <w:p>
            <w:pPr>
              <w:spacing w:after="0"/>
              <w:rPr>
                <w:sz w:val="24"/>
                <w:szCs w:val="24"/>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00"/>
              <w:spacing w:after="0"/>
              <w:rPr>
                <w:sz w:val="20"/>
                <w:szCs w:val="20"/>
                <w:color w:val="auto"/>
              </w:rPr>
            </w:pPr>
            <w:r>
              <w:rPr>
                <w:rFonts w:ascii="Arial" w:cs="Arial" w:eastAsia="Arial" w:hAnsi="Arial"/>
                <w:sz w:val="18"/>
                <w:szCs w:val="18"/>
                <w:color w:val="auto"/>
              </w:rPr>
              <w:t>February 28, 2019</w:t>
            </w:r>
          </w:p>
        </w:tc>
        <w:tc>
          <w:tcPr>
            <w:tcW w:w="0" w:type="dxa"/>
            <w:vAlign w:val="bottom"/>
          </w:tcPr>
          <w:p>
            <w:pPr>
              <w:spacing w:after="0"/>
              <w:rPr>
                <w:sz w:val="1"/>
                <w:szCs w:val="1"/>
                <w:color w:val="auto"/>
              </w:rPr>
            </w:pPr>
          </w:p>
        </w:tc>
      </w:tr>
      <w:tr>
        <w:trPr>
          <w:trHeight w:val="54"/>
        </w:trPr>
        <w:tc>
          <w:tcPr>
            <w:tcW w:w="344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80"/>
              <w:spacing w:after="0"/>
              <w:rPr>
                <w:sz w:val="20"/>
                <w:szCs w:val="20"/>
                <w:color w:val="auto"/>
              </w:rPr>
            </w:pPr>
            <w:r>
              <w:rPr>
                <w:rFonts w:ascii="Arial" w:cs="Arial" w:eastAsia="Arial" w:hAnsi="Arial"/>
                <w:sz w:val="18"/>
                <w:szCs w:val="18"/>
                <w:color w:val="auto"/>
              </w:rPr>
              <w:t>Thomas Dyrberg, M.D., D.M.Sc.</w:t>
            </w:r>
          </w:p>
        </w:tc>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440" w:type="dxa"/>
            <w:vAlign w:val="bottom"/>
          </w:tcPr>
          <w:p>
            <w:pPr>
              <w:ind w:left="80"/>
              <w:spacing w:after="0"/>
              <w:rPr>
                <w:sz w:val="20"/>
                <w:szCs w:val="20"/>
                <w:color w:val="auto"/>
              </w:rPr>
            </w:pPr>
            <w:r>
              <w:rPr>
                <w:rFonts w:ascii="Arial" w:cs="Arial" w:eastAsia="Arial" w:hAnsi="Arial"/>
                <w:sz w:val="18"/>
                <w:szCs w:val="18"/>
                <w:color w:val="auto"/>
              </w:rPr>
              <w:t>/s/ Jane P. Henderson</w:t>
            </w:r>
          </w:p>
        </w:tc>
        <w:tc>
          <w:tcPr>
            <w:tcW w:w="340" w:type="dxa"/>
            <w:vAlign w:val="bottom"/>
          </w:tcPr>
          <w:p>
            <w:pPr>
              <w:spacing w:after="0"/>
              <w:rPr>
                <w:sz w:val="24"/>
                <w:szCs w:val="24"/>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00"/>
              <w:spacing w:after="0"/>
              <w:rPr>
                <w:sz w:val="20"/>
                <w:szCs w:val="20"/>
                <w:color w:val="auto"/>
              </w:rPr>
            </w:pPr>
            <w:r>
              <w:rPr>
                <w:rFonts w:ascii="Arial" w:cs="Arial" w:eastAsia="Arial" w:hAnsi="Arial"/>
                <w:sz w:val="18"/>
                <w:szCs w:val="18"/>
                <w:color w:val="auto"/>
              </w:rPr>
              <w:t>February 28, 2019</w:t>
            </w:r>
          </w:p>
        </w:tc>
        <w:tc>
          <w:tcPr>
            <w:tcW w:w="0" w:type="dxa"/>
            <w:vAlign w:val="bottom"/>
          </w:tcPr>
          <w:p>
            <w:pPr>
              <w:spacing w:after="0"/>
              <w:rPr>
                <w:sz w:val="1"/>
                <w:szCs w:val="1"/>
                <w:color w:val="auto"/>
              </w:rPr>
            </w:pPr>
          </w:p>
        </w:tc>
      </w:tr>
      <w:tr>
        <w:trPr>
          <w:trHeight w:val="54"/>
        </w:trPr>
        <w:tc>
          <w:tcPr>
            <w:tcW w:w="344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80"/>
              <w:spacing w:after="0"/>
              <w:rPr>
                <w:sz w:val="20"/>
                <w:szCs w:val="20"/>
                <w:color w:val="auto"/>
              </w:rPr>
            </w:pPr>
            <w:r>
              <w:rPr>
                <w:rFonts w:ascii="Arial" w:cs="Arial" w:eastAsia="Arial" w:hAnsi="Arial"/>
                <w:sz w:val="18"/>
                <w:szCs w:val="18"/>
                <w:color w:val="auto"/>
              </w:rPr>
              <w:t>Jane P. Henderson</w:t>
            </w:r>
          </w:p>
        </w:tc>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440" w:type="dxa"/>
            <w:vAlign w:val="bottom"/>
          </w:tcPr>
          <w:p>
            <w:pPr>
              <w:ind w:left="80"/>
              <w:spacing w:after="0"/>
              <w:rPr>
                <w:sz w:val="20"/>
                <w:szCs w:val="20"/>
                <w:color w:val="auto"/>
              </w:rPr>
            </w:pPr>
            <w:r>
              <w:rPr>
                <w:rFonts w:ascii="Arial" w:cs="Arial" w:eastAsia="Arial" w:hAnsi="Arial"/>
                <w:sz w:val="18"/>
                <w:szCs w:val="18"/>
                <w:color w:val="auto"/>
              </w:rPr>
              <w:t>/s/ David E. Redlick</w:t>
            </w:r>
          </w:p>
        </w:tc>
        <w:tc>
          <w:tcPr>
            <w:tcW w:w="340" w:type="dxa"/>
            <w:vAlign w:val="bottom"/>
          </w:tcPr>
          <w:p>
            <w:pPr>
              <w:spacing w:after="0"/>
              <w:rPr>
                <w:sz w:val="24"/>
                <w:szCs w:val="24"/>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00"/>
              <w:spacing w:after="0"/>
              <w:rPr>
                <w:sz w:val="20"/>
                <w:szCs w:val="20"/>
                <w:color w:val="auto"/>
              </w:rPr>
            </w:pPr>
            <w:r>
              <w:rPr>
                <w:rFonts w:ascii="Arial" w:cs="Arial" w:eastAsia="Arial" w:hAnsi="Arial"/>
                <w:sz w:val="18"/>
                <w:szCs w:val="18"/>
                <w:color w:val="auto"/>
              </w:rPr>
              <w:t>February 28, 2019</w:t>
            </w:r>
          </w:p>
        </w:tc>
        <w:tc>
          <w:tcPr>
            <w:tcW w:w="0" w:type="dxa"/>
            <w:vAlign w:val="bottom"/>
          </w:tcPr>
          <w:p>
            <w:pPr>
              <w:spacing w:after="0"/>
              <w:rPr>
                <w:sz w:val="1"/>
                <w:szCs w:val="1"/>
                <w:color w:val="auto"/>
              </w:rPr>
            </w:pPr>
          </w:p>
        </w:tc>
      </w:tr>
      <w:tr>
        <w:trPr>
          <w:trHeight w:val="54"/>
        </w:trPr>
        <w:tc>
          <w:tcPr>
            <w:tcW w:w="344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80"/>
              <w:spacing w:after="0"/>
              <w:rPr>
                <w:sz w:val="20"/>
                <w:szCs w:val="20"/>
                <w:color w:val="auto"/>
              </w:rPr>
            </w:pPr>
            <w:r>
              <w:rPr>
                <w:rFonts w:ascii="Arial" w:cs="Arial" w:eastAsia="Arial" w:hAnsi="Arial"/>
                <w:sz w:val="18"/>
                <w:szCs w:val="18"/>
                <w:color w:val="auto"/>
              </w:rPr>
              <w:t>David E. Redlick</w:t>
            </w:r>
          </w:p>
        </w:tc>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440" w:type="dxa"/>
            <w:vAlign w:val="bottom"/>
          </w:tcPr>
          <w:p>
            <w:pPr>
              <w:ind w:left="80"/>
              <w:spacing w:after="0"/>
              <w:rPr>
                <w:sz w:val="20"/>
                <w:szCs w:val="20"/>
                <w:color w:val="auto"/>
              </w:rPr>
            </w:pPr>
            <w:r>
              <w:rPr>
                <w:rFonts w:ascii="Arial" w:cs="Arial" w:eastAsia="Arial" w:hAnsi="Arial"/>
                <w:sz w:val="18"/>
                <w:szCs w:val="18"/>
                <w:color w:val="auto"/>
              </w:rPr>
              <w:t>/s/ Adrienne L. Graves</w:t>
            </w:r>
          </w:p>
        </w:tc>
        <w:tc>
          <w:tcPr>
            <w:tcW w:w="340" w:type="dxa"/>
            <w:vAlign w:val="bottom"/>
          </w:tcPr>
          <w:p>
            <w:pPr>
              <w:spacing w:after="0"/>
              <w:rPr>
                <w:sz w:val="24"/>
                <w:szCs w:val="24"/>
                <w:color w:val="auto"/>
              </w:rPr>
            </w:pPr>
          </w:p>
        </w:tc>
        <w:tc>
          <w:tcPr>
            <w:tcW w:w="52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00"/>
              <w:spacing w:after="0"/>
              <w:rPr>
                <w:sz w:val="20"/>
                <w:szCs w:val="20"/>
                <w:color w:val="auto"/>
              </w:rPr>
            </w:pPr>
            <w:r>
              <w:rPr>
                <w:rFonts w:ascii="Arial" w:cs="Arial" w:eastAsia="Arial" w:hAnsi="Arial"/>
                <w:sz w:val="18"/>
                <w:szCs w:val="18"/>
                <w:color w:val="auto"/>
              </w:rPr>
              <w:t>February 28, 2019</w:t>
            </w:r>
          </w:p>
        </w:tc>
        <w:tc>
          <w:tcPr>
            <w:tcW w:w="0" w:type="dxa"/>
            <w:vAlign w:val="bottom"/>
          </w:tcPr>
          <w:p>
            <w:pPr>
              <w:spacing w:after="0"/>
              <w:rPr>
                <w:sz w:val="1"/>
                <w:szCs w:val="1"/>
                <w:color w:val="auto"/>
              </w:rPr>
            </w:pPr>
          </w:p>
        </w:tc>
      </w:tr>
      <w:tr>
        <w:trPr>
          <w:trHeight w:val="54"/>
        </w:trPr>
        <w:tc>
          <w:tcPr>
            <w:tcW w:w="344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4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80"/>
              <w:spacing w:after="0"/>
              <w:rPr>
                <w:sz w:val="20"/>
                <w:szCs w:val="20"/>
                <w:color w:val="auto"/>
              </w:rPr>
            </w:pPr>
            <w:r>
              <w:rPr>
                <w:rFonts w:ascii="Arial" w:cs="Arial" w:eastAsia="Arial" w:hAnsi="Arial"/>
                <w:sz w:val="18"/>
                <w:szCs w:val="18"/>
                <w:color w:val="auto"/>
              </w:rPr>
              <w:t>Adrienne L. Graves, Ph.D.</w:t>
            </w:r>
          </w:p>
        </w:tc>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3440" w:type="dxa"/>
            <w:vAlign w:val="bottom"/>
          </w:tcPr>
          <w:p>
            <w:pPr>
              <w:ind w:left="40"/>
              <w:spacing w:after="0"/>
              <w:rPr>
                <w:sz w:val="20"/>
                <w:szCs w:val="20"/>
                <w:color w:val="auto"/>
              </w:rPr>
            </w:pPr>
            <w:r>
              <w:rPr>
                <w:rFonts w:ascii="Arial" w:cs="Arial" w:eastAsia="Arial" w:hAnsi="Arial"/>
                <w:sz w:val="18"/>
                <w:szCs w:val="18"/>
                <w:color w:val="auto"/>
              </w:rPr>
              <w:t>/s/ Jane P. Henderson</w:t>
            </w:r>
          </w:p>
        </w:tc>
        <w:tc>
          <w:tcPr>
            <w:tcW w:w="340" w:type="dxa"/>
            <w:vAlign w:val="bottom"/>
          </w:tcPr>
          <w:p>
            <w:pPr>
              <w:spacing w:after="0"/>
              <w:rPr>
                <w:sz w:val="24"/>
                <w:szCs w:val="24"/>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40"/>
              <w:spacing w:after="0"/>
              <w:rPr>
                <w:sz w:val="20"/>
                <w:szCs w:val="20"/>
                <w:color w:val="auto"/>
              </w:rPr>
            </w:pPr>
            <w:r>
              <w:rPr>
                <w:rFonts w:ascii="Arial" w:cs="Arial" w:eastAsia="Arial" w:hAnsi="Arial"/>
                <w:sz w:val="18"/>
                <w:szCs w:val="18"/>
                <w:color w:val="auto"/>
              </w:rPr>
              <w:t>February 28, 2019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Jane P. Henderson</w:t>
            </w:r>
          </w:p>
        </w:tc>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3440" w:type="dxa"/>
            <w:vAlign w:val="bottom"/>
          </w:tcPr>
          <w:p>
            <w:pPr>
              <w:ind w:left="40"/>
              <w:spacing w:after="0"/>
              <w:rPr>
                <w:sz w:val="20"/>
                <w:szCs w:val="20"/>
                <w:color w:val="auto"/>
              </w:rPr>
            </w:pPr>
            <w:r>
              <w:rPr>
                <w:rFonts w:ascii="Arial" w:cs="Arial" w:eastAsia="Arial" w:hAnsi="Arial"/>
                <w:sz w:val="18"/>
                <w:szCs w:val="18"/>
                <w:color w:val="auto"/>
              </w:rPr>
              <w:t>/s/ David E. Redlick</w:t>
            </w:r>
          </w:p>
        </w:tc>
        <w:tc>
          <w:tcPr>
            <w:tcW w:w="340" w:type="dxa"/>
            <w:vAlign w:val="bottom"/>
          </w:tcPr>
          <w:p>
            <w:pPr>
              <w:spacing w:after="0"/>
              <w:rPr>
                <w:sz w:val="24"/>
                <w:szCs w:val="24"/>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40"/>
              <w:spacing w:after="0"/>
              <w:rPr>
                <w:sz w:val="20"/>
                <w:szCs w:val="20"/>
                <w:color w:val="auto"/>
              </w:rPr>
            </w:pPr>
            <w:r>
              <w:rPr>
                <w:rFonts w:ascii="Arial" w:cs="Arial" w:eastAsia="Arial" w:hAnsi="Arial"/>
                <w:sz w:val="18"/>
                <w:szCs w:val="18"/>
                <w:color w:val="auto"/>
              </w:rPr>
              <w:t>February 28, 2019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David E. Redlick</w:t>
            </w:r>
          </w:p>
        </w:tc>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3440" w:type="dxa"/>
            <w:vAlign w:val="bottom"/>
          </w:tcPr>
          <w:p>
            <w:pPr>
              <w:ind w:left="40"/>
              <w:spacing w:after="0"/>
              <w:rPr>
                <w:sz w:val="20"/>
                <w:szCs w:val="20"/>
                <w:color w:val="auto"/>
              </w:rPr>
            </w:pPr>
            <w:r>
              <w:rPr>
                <w:rFonts w:ascii="Arial" w:cs="Arial" w:eastAsia="Arial" w:hAnsi="Arial"/>
                <w:sz w:val="18"/>
                <w:szCs w:val="18"/>
                <w:color w:val="auto"/>
              </w:rPr>
              <w:t>/s/ Calvin W. Roberts</w:t>
            </w:r>
          </w:p>
        </w:tc>
        <w:tc>
          <w:tcPr>
            <w:tcW w:w="340" w:type="dxa"/>
            <w:vAlign w:val="bottom"/>
          </w:tcPr>
          <w:p>
            <w:pPr>
              <w:spacing w:after="0"/>
              <w:rPr>
                <w:sz w:val="24"/>
                <w:szCs w:val="24"/>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40"/>
              <w:spacing w:after="0"/>
              <w:rPr>
                <w:sz w:val="20"/>
                <w:szCs w:val="20"/>
                <w:color w:val="auto"/>
              </w:rPr>
            </w:pPr>
            <w:r>
              <w:rPr>
                <w:rFonts w:ascii="Arial" w:cs="Arial" w:eastAsia="Arial" w:hAnsi="Arial"/>
                <w:sz w:val="18"/>
                <w:szCs w:val="18"/>
                <w:color w:val="auto"/>
              </w:rPr>
              <w:t>February 28, 2019</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Calvin W. Roberts, M.D.</w:t>
            </w:r>
          </w:p>
        </w:tc>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688" w:right="23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6111240</wp:posOffset>
            </wp:positionH>
            <wp:positionV relativeFrom="paragraph">
              <wp:posOffset>154940</wp:posOffset>
            </wp:positionV>
            <wp:extent cx="11404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40460" cy="13716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+1 212 230 8800 (t)</w:t>
      </w:r>
    </w:p>
    <w:p>
      <w:pPr>
        <w:spacing w:after="0" w:line="23"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+1 212 230 8888 (f)</w:t>
      </w:r>
    </w:p>
    <w:p>
      <w:pPr>
        <w:spacing w:after="0" w:line="32"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wilmerhale.com</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February 28, 2019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Ophthotech Corporation</w:t>
      </w:r>
    </w:p>
    <w:p>
      <w:pPr>
        <w:spacing w:after="0" w:line="207" w:lineRule="auto"/>
        <w:rPr>
          <w:sz w:val="20"/>
          <w:szCs w:val="20"/>
          <w:color w:val="auto"/>
        </w:rPr>
      </w:pPr>
      <w:r>
        <w:rPr>
          <w:rFonts w:ascii="Arial" w:cs="Arial" w:eastAsia="Arial" w:hAnsi="Arial"/>
          <w:sz w:val="22"/>
          <w:szCs w:val="22"/>
          <w:color w:val="auto"/>
        </w:rPr>
        <w:t>One Penn Plaza, 35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NY 10119</w:t>
      </w:r>
    </w:p>
    <w:p>
      <w:pPr>
        <w:spacing w:after="0" w:line="242"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Ophthotech Corporation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Registration Statement on Form S-8</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2013 Stock Incentive Plan</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14" w:lineRule="exact"/>
        <w:rPr>
          <w:sz w:val="20"/>
          <w:szCs w:val="20"/>
          <w:color w:val="auto"/>
        </w:rPr>
      </w:pPr>
    </w:p>
    <w:p>
      <w:pPr>
        <w:ind w:right="200"/>
        <w:spacing w:after="0" w:line="264" w:lineRule="auto"/>
        <w:rPr>
          <w:sz w:val="20"/>
          <w:szCs w:val="20"/>
          <w:color w:val="auto"/>
        </w:rPr>
      </w:pPr>
      <w:r>
        <w:rPr>
          <w:rFonts w:ascii="Arial" w:cs="Arial" w:eastAsia="Arial" w:hAnsi="Arial"/>
          <w:sz w:val="21"/>
          <w:szCs w:val="21"/>
          <w:color w:val="auto"/>
        </w:rPr>
        <w:t>We have assisted in the preparation of a Registration Statement on Form S-8 (the “</w:t>
      </w:r>
      <w:r>
        <w:rPr>
          <w:rFonts w:ascii="Arial" w:cs="Arial" w:eastAsia="Arial" w:hAnsi="Arial"/>
          <w:sz w:val="21"/>
          <w:szCs w:val="21"/>
          <w:b w:val="1"/>
          <w:bCs w:val="1"/>
          <w:color w:val="auto"/>
        </w:rPr>
        <w:t>Registration Statement</w:t>
      </w:r>
      <w:r>
        <w:rPr>
          <w:rFonts w:ascii="Arial" w:cs="Arial" w:eastAsia="Arial" w:hAnsi="Arial"/>
          <w:sz w:val="21"/>
          <w:szCs w:val="21"/>
          <w:color w:val="auto"/>
        </w:rPr>
        <w:t>”) to be filed with the Securities and Exchange Commission (the “</w:t>
      </w:r>
      <w:r>
        <w:rPr>
          <w:rFonts w:ascii="Arial" w:cs="Arial" w:eastAsia="Arial" w:hAnsi="Arial"/>
          <w:sz w:val="21"/>
          <w:szCs w:val="21"/>
          <w:b w:val="1"/>
          <w:bCs w:val="1"/>
          <w:color w:val="auto"/>
        </w:rPr>
        <w:t>Commission</w:t>
      </w:r>
      <w:r>
        <w:rPr>
          <w:rFonts w:ascii="Arial" w:cs="Arial" w:eastAsia="Arial" w:hAnsi="Arial"/>
          <w:sz w:val="21"/>
          <w:szCs w:val="21"/>
          <w:color w:val="auto"/>
        </w:rPr>
        <w:t>”) under the Securities Act of 1933, as amended (the “</w:t>
      </w:r>
      <w:r>
        <w:rPr>
          <w:rFonts w:ascii="Arial" w:cs="Arial" w:eastAsia="Arial" w:hAnsi="Arial"/>
          <w:sz w:val="21"/>
          <w:szCs w:val="21"/>
          <w:b w:val="1"/>
          <w:bCs w:val="1"/>
          <w:color w:val="auto"/>
        </w:rPr>
        <w:t>Securities Act</w:t>
      </w:r>
      <w:r>
        <w:rPr>
          <w:rFonts w:ascii="Arial" w:cs="Arial" w:eastAsia="Arial" w:hAnsi="Arial"/>
          <w:sz w:val="21"/>
          <w:szCs w:val="21"/>
          <w:color w:val="auto"/>
        </w:rPr>
        <w:t>”), relating to an aggregate of 1,655,887 shares of common stock, $0.001 par value per share (the “</w:t>
      </w:r>
      <w:r>
        <w:rPr>
          <w:rFonts w:ascii="Arial" w:cs="Arial" w:eastAsia="Arial" w:hAnsi="Arial"/>
          <w:sz w:val="21"/>
          <w:szCs w:val="21"/>
          <w:b w:val="1"/>
          <w:bCs w:val="1"/>
          <w:color w:val="auto"/>
        </w:rPr>
        <w:t>Shares</w:t>
      </w:r>
      <w:r>
        <w:rPr>
          <w:rFonts w:ascii="Arial" w:cs="Arial" w:eastAsia="Arial" w:hAnsi="Arial"/>
          <w:sz w:val="21"/>
          <w:szCs w:val="21"/>
          <w:color w:val="auto"/>
        </w:rPr>
        <w:t>”), of Ophthotech Corporation,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issuable under the Company’s 2013 Stock Incentive Plan, as amended by Amendment No. 1 to 2013 Stock Incentive Plan (as amended, the “</w:t>
      </w:r>
      <w:r>
        <w:rPr>
          <w:rFonts w:ascii="Arial" w:cs="Arial" w:eastAsia="Arial" w:hAnsi="Arial"/>
          <w:sz w:val="21"/>
          <w:szCs w:val="21"/>
          <w:b w:val="1"/>
          <w:bCs w:val="1"/>
          <w:color w:val="auto"/>
        </w:rPr>
        <w:t>Plan</w:t>
      </w:r>
      <w:r>
        <w:rPr>
          <w:rFonts w:ascii="Arial" w:cs="Arial" w:eastAsia="Arial" w:hAnsi="Arial"/>
          <w:sz w:val="21"/>
          <w:szCs w:val="21"/>
          <w:color w:val="auto"/>
        </w:rPr>
        <w:t>”).</w:t>
      </w:r>
    </w:p>
    <w:p>
      <w:pPr>
        <w:spacing w:after="0" w:line="177" w:lineRule="exact"/>
        <w:rPr>
          <w:sz w:val="20"/>
          <w:szCs w:val="20"/>
          <w:color w:val="auto"/>
        </w:rPr>
      </w:pPr>
    </w:p>
    <w:p>
      <w:pPr>
        <w:ind w:right="500"/>
        <w:spacing w:after="0" w:line="250" w:lineRule="auto"/>
        <w:rPr>
          <w:sz w:val="20"/>
          <w:szCs w:val="20"/>
          <w:color w:val="auto"/>
        </w:rPr>
      </w:pPr>
      <w:r>
        <w:rPr>
          <w:rFonts w:ascii="Arial" w:cs="Arial" w:eastAsia="Arial" w:hAnsi="Arial"/>
          <w:sz w:val="22"/>
          <w:szCs w:val="22"/>
          <w:color w:val="auto"/>
        </w:rPr>
        <w:t>We have examined the Certificate of Incorporation and Bylaws of the Company, each as amended and/or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88"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We assume that the appropriate action will be taken, prior to the offer and sale of the Shares in accordance with the Plan, to register and qualify the Shares for sale under all applicable state securities or “blue sky” laws.</w:t>
      </w:r>
    </w:p>
    <w:p>
      <w:pPr>
        <w:spacing w:after="0" w:line="175" w:lineRule="exact"/>
        <w:rPr>
          <w:sz w:val="20"/>
          <w:szCs w:val="20"/>
          <w:color w:val="auto"/>
        </w:rPr>
      </w:pPr>
    </w:p>
    <w:p>
      <w:pPr>
        <w:ind w:right="580"/>
        <w:spacing w:after="0" w:line="287" w:lineRule="auto"/>
        <w:rPr>
          <w:sz w:val="20"/>
          <w:szCs w:val="20"/>
          <w:color w:val="auto"/>
        </w:rPr>
      </w:pPr>
      <w:r>
        <w:rPr>
          <w:rFonts w:ascii="Arial" w:cs="Arial" w:eastAsia="Arial" w:hAnsi="Arial"/>
          <w:sz w:val="21"/>
          <w:szCs w:val="21"/>
          <w:color w:val="auto"/>
        </w:rPr>
        <w:t>We express no opinion herein as to the laws of any state or jurisdiction other than the state laws of the State of New York, the General Corporation Law of the State of Delaware and the federal laws of the United States of America.</w:t>
      </w:r>
    </w:p>
    <w:p>
      <w:pPr>
        <w:spacing w:after="0" w:line="152" w:lineRule="exact"/>
        <w:rPr>
          <w:sz w:val="20"/>
          <w:szCs w:val="20"/>
          <w:color w:val="auto"/>
        </w:rPr>
      </w:pPr>
    </w:p>
    <w:p>
      <w:pPr>
        <w:ind w:right="700"/>
        <w:spacing w:after="0" w:line="263" w:lineRule="auto"/>
        <w:rPr>
          <w:sz w:val="20"/>
          <w:szCs w:val="20"/>
          <w:color w:val="auto"/>
        </w:rPr>
      </w:pPr>
      <w:r>
        <w:rPr>
          <w:rFonts w:ascii="Arial" w:cs="Arial" w:eastAsia="Arial" w:hAnsi="Arial"/>
          <w:sz w:val="22"/>
          <w:szCs w:val="22"/>
          <w:color w:val="auto"/>
        </w:rPr>
        <w:t>It is understood that this opinion is to be used only in connection with the offer and sale of the Shares while the Registration Statement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5351145"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351145" cy="22288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6263640</wp:posOffset>
            </wp:positionH>
            <wp:positionV relativeFrom="page">
              <wp:posOffset>637540</wp:posOffset>
            </wp:positionV>
            <wp:extent cx="11404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137160"/>
                    </a:xfrm>
                    <a:prstGeom prst="rect">
                      <a:avLst/>
                    </a:prstGeom>
                    <a:noFill/>
                  </pic:spPr>
                </pic:pic>
              </a:graphicData>
            </a:graphic>
          </wp:anchor>
        </w:drawing>
        <w:t>Ophthotech Corporation</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February 28, 2019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8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Please note that we are opining only as to the matters expressly set forth herein, and no opinion should be inferred as to any other matters.</w:t>
      </w:r>
    </w:p>
    <w:p>
      <w:pPr>
        <w:spacing w:after="0" w:line="175" w:lineRule="exact"/>
        <w:rPr>
          <w:sz w:val="20"/>
          <w:szCs w:val="20"/>
          <w:color w:val="auto"/>
        </w:rPr>
      </w:pPr>
    </w:p>
    <w:p>
      <w:pPr>
        <w:ind w:right="260"/>
        <w:spacing w:after="0" w:line="253" w:lineRule="auto"/>
        <w:rPr>
          <w:sz w:val="20"/>
          <w:szCs w:val="20"/>
          <w:color w:val="auto"/>
        </w:rPr>
      </w:pPr>
      <w:r>
        <w:rPr>
          <w:rFonts w:ascii="Arial" w:cs="Arial" w:eastAsia="Arial" w:hAnsi="Arial"/>
          <w:sz w:val="22"/>
          <w:szCs w:val="22"/>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18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WILMER CUTLER PICKERING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HALE AND DORR LLP</w:t>
      </w:r>
    </w:p>
    <w:p>
      <w:pPr>
        <w:spacing w:after="0" w:line="391"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22"/>
          <w:szCs w:val="22"/>
          <w:color w:val="auto"/>
        </w:rPr>
        <w:t>By:</w:t>
        <w:tab/>
        <w:t>/s/ Brian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24765</wp:posOffset>
            </wp:positionV>
            <wp:extent cx="22212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Brian A. Johnson, a Partner</w:t>
      </w:r>
    </w:p>
    <w:p>
      <w:pPr>
        <w:sectPr>
          <w:pgSz w:w="11900" w:h="16838" w:orient="portrait"/>
          <w:cols w:equalWidth="0" w:num="1">
            <w:col w:w="11180"/>
          </w:cols>
          <w:pgMar w:left="240" w:top="1266" w:right="47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2013 Stock Incentive Plan of Ophthotech Corporation of our reports dated February 28, 2019, with respect to the consolidated financial statements of Ophthotech Corporation and the effectiveness of internal control over financial reporting of Ophthotech Corporation included in its Annual Report (Form 10-K) for the year ended December 31, 2018, filed with the Securities and Exchange Commission.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png"/><Relationship Id="rId16" Type="http://schemas.openxmlformats.org/officeDocument/2006/relationships/hyperlink" Target="http://www.sec.gov/Archives/edgar/data/1410939/000119312513360785/d560505dex33.htm" TargetMode="External"/><Relationship Id="rId17" Type="http://schemas.openxmlformats.org/officeDocument/2006/relationships/hyperlink" Target="http://www.sec.gov/Archives/edgar/data/1410939/000119312513360785/d560505dex34.htm" TargetMode="External"/><Relationship Id="rId18" Type="http://schemas.openxmlformats.org/officeDocument/2006/relationships/hyperlink" Target="http://www.sec.gov/Archives/edgar/data/1410939/000104746915001507/a2223280zex-10_4.htm" TargetMode="External"/><Relationship Id="rId19" Type="http://schemas.openxmlformats.org/officeDocument/2006/relationships/hyperlink" Target="http://www.sec.gov/Archives/edgar/data/1410939/000110465915058291/a15-11945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2019-12-21T03:54:24Z</dcterms:created>
  <dcterms:modified xsi:type="dcterms:W3CDTF">2019-12-21T03:54:24Z</dcterms:modified>
</cp:coreProperties>
</file>