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July 26, 2022</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S-8</w:t>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 UNDER</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ACT OF 1933</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IVERIC bio,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1300" w:type="dxa"/>
        <w:tblCellMar>
          <w:top w:w="0" w:type="dxa"/>
          <w:left w:w="0" w:type="dxa"/>
          <w:bottom w:w="0" w:type="dxa"/>
          <w:right w:w="0" w:type="dxa"/>
        </w:tblCellMar>
      </w:tblPr>
      <w:tr>
        <w:trPr>
          <w:trHeight w:val="220"/>
        </w:trPr>
        <w:tc>
          <w:tcPr>
            <w:tcW w:w="6180" w:type="dxa"/>
            <w:vAlign w:val="bottom"/>
          </w:tcPr>
          <w:p>
            <w:pPr>
              <w:jc w:val="center"/>
              <w:ind w:right="317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6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20-8185347</w:t>
            </w:r>
          </w:p>
        </w:tc>
      </w:tr>
      <w:tr>
        <w:trPr>
          <w:trHeight w:val="216"/>
        </w:trPr>
        <w:tc>
          <w:tcPr>
            <w:tcW w:w="6180" w:type="dxa"/>
            <w:vAlign w:val="bottom"/>
          </w:tcPr>
          <w:p>
            <w:pPr>
              <w:jc w:val="center"/>
              <w:ind w:right="3170"/>
              <w:spacing w:after="0"/>
              <w:rPr>
                <w:sz w:val="20"/>
                <w:szCs w:val="20"/>
                <w:color w:val="auto"/>
              </w:rPr>
            </w:pPr>
            <w:r>
              <w:rPr>
                <w:rFonts w:ascii="Times New Roman" w:cs="Times New Roman" w:eastAsia="Times New Roman" w:hAnsi="Times New Roman"/>
                <w:sz w:val="18"/>
                <w:szCs w:val="18"/>
                <w:color w:val="auto"/>
              </w:rPr>
              <w:t>(State or Other Jurisdiction of</w:t>
            </w:r>
          </w:p>
        </w:tc>
        <w:tc>
          <w:tcPr>
            <w:tcW w:w="168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6180" w:type="dxa"/>
            <w:vAlign w:val="bottom"/>
          </w:tcPr>
          <w:p>
            <w:pPr>
              <w:jc w:val="center"/>
              <w:ind w:right="317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168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6180" w:type="dxa"/>
            <w:vAlign w:val="bottom"/>
          </w:tcPr>
          <w:p>
            <w:pPr>
              <w:jc w:val="center"/>
              <w:ind w:right="3170"/>
              <w:spacing w:after="0"/>
              <w:rPr>
                <w:sz w:val="20"/>
                <w:szCs w:val="20"/>
                <w:color w:val="auto"/>
              </w:rPr>
            </w:pPr>
            <w:r>
              <w:rPr>
                <w:rFonts w:ascii="Times New Roman" w:cs="Times New Roman" w:eastAsia="Times New Roman" w:hAnsi="Times New Roman"/>
                <w:sz w:val="18"/>
                <w:szCs w:val="18"/>
                <w:b w:val="1"/>
                <w:bCs w:val="1"/>
                <w:color w:val="auto"/>
                <w:w w:val="98"/>
              </w:rPr>
              <w:t>8 Sylvan Way</w:t>
            </w:r>
          </w:p>
        </w:tc>
        <w:tc>
          <w:tcPr>
            <w:tcW w:w="1680" w:type="dxa"/>
            <w:vAlign w:val="bottom"/>
          </w:tcPr>
          <w:p>
            <w:pPr>
              <w:spacing w:after="0"/>
              <w:rPr>
                <w:sz w:val="24"/>
                <w:szCs w:val="24"/>
                <w:color w:val="auto"/>
              </w:rPr>
            </w:pPr>
          </w:p>
        </w:tc>
      </w:tr>
      <w:tr>
        <w:trPr>
          <w:trHeight w:val="220"/>
        </w:trPr>
        <w:tc>
          <w:tcPr>
            <w:tcW w:w="6180" w:type="dxa"/>
            <w:vAlign w:val="bottom"/>
          </w:tcPr>
          <w:p>
            <w:pPr>
              <w:jc w:val="center"/>
              <w:ind w:right="3170"/>
              <w:spacing w:after="0"/>
              <w:rPr>
                <w:sz w:val="20"/>
                <w:szCs w:val="20"/>
                <w:color w:val="auto"/>
              </w:rPr>
            </w:pPr>
            <w:r>
              <w:rPr>
                <w:rFonts w:ascii="Times New Roman" w:cs="Times New Roman" w:eastAsia="Times New Roman" w:hAnsi="Times New Roman"/>
                <w:sz w:val="18"/>
                <w:szCs w:val="18"/>
                <w:b w:val="1"/>
                <w:bCs w:val="1"/>
                <w:color w:val="auto"/>
                <w:w w:val="99"/>
              </w:rPr>
              <w:t>Parsippany, New Jersey</w:t>
            </w:r>
          </w:p>
        </w:tc>
        <w:tc>
          <w:tcPr>
            <w:tcW w:w="16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07054</w:t>
            </w:r>
          </w:p>
        </w:tc>
      </w:tr>
      <w:tr>
        <w:trPr>
          <w:trHeight w:val="234"/>
        </w:trPr>
        <w:tc>
          <w:tcPr>
            <w:tcW w:w="6180" w:type="dxa"/>
            <w:vAlign w:val="bottom"/>
          </w:tcPr>
          <w:p>
            <w:pPr>
              <w:jc w:val="center"/>
              <w:ind w:right="317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168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rPr>
              <w:t>(Zip Code)</w:t>
            </w:r>
          </w:p>
        </w:tc>
      </w:tr>
      <w:tr>
        <w:trPr>
          <w:trHeight w:val="414"/>
        </w:trPr>
        <w:tc>
          <w:tcPr>
            <w:tcW w:w="6180" w:type="dxa"/>
            <w:vAlign w:val="bottom"/>
          </w:tcPr>
          <w:p>
            <w:pPr>
              <w:jc w:val="center"/>
              <w:ind w:left="2370"/>
              <w:spacing w:after="0"/>
              <w:rPr>
                <w:sz w:val="20"/>
                <w:szCs w:val="20"/>
                <w:color w:val="auto"/>
              </w:rPr>
            </w:pPr>
            <w:r>
              <w:rPr>
                <w:rFonts w:ascii="Times New Roman" w:cs="Times New Roman" w:eastAsia="Times New Roman" w:hAnsi="Times New Roman"/>
                <w:sz w:val="18"/>
                <w:szCs w:val="18"/>
                <w:b w:val="1"/>
                <w:bCs w:val="1"/>
                <w:color w:val="auto"/>
              </w:rPr>
              <w:t>2019 Inducement Stock Incentive Plan</w:t>
            </w:r>
          </w:p>
        </w:tc>
        <w:tc>
          <w:tcPr>
            <w:tcW w:w="1680" w:type="dxa"/>
            <w:vAlign w:val="bottom"/>
          </w:tcPr>
          <w:p>
            <w:pPr>
              <w:spacing w:after="0"/>
              <w:rPr>
                <w:sz w:val="24"/>
                <w:szCs w:val="24"/>
                <w:color w:val="auto"/>
              </w:rPr>
            </w:pPr>
          </w:p>
        </w:tc>
      </w:tr>
      <w:tr>
        <w:trPr>
          <w:trHeight w:val="234"/>
        </w:trPr>
        <w:tc>
          <w:tcPr>
            <w:tcW w:w="6180" w:type="dxa"/>
            <w:vAlign w:val="bottom"/>
          </w:tcPr>
          <w:p>
            <w:pPr>
              <w:jc w:val="center"/>
              <w:ind w:left="2390"/>
              <w:spacing w:after="0"/>
              <w:rPr>
                <w:sz w:val="20"/>
                <w:szCs w:val="20"/>
                <w:color w:val="auto"/>
              </w:rPr>
            </w:pPr>
            <w:r>
              <w:rPr>
                <w:rFonts w:ascii="Times New Roman" w:cs="Times New Roman" w:eastAsia="Times New Roman" w:hAnsi="Times New Roman"/>
                <w:sz w:val="18"/>
                <w:szCs w:val="18"/>
                <w:color w:val="auto"/>
                <w:w w:val="99"/>
              </w:rPr>
              <w:t>(Full Title of the Plan)</w:t>
            </w:r>
          </w:p>
        </w:tc>
        <w:tc>
          <w:tcPr>
            <w:tcW w:w="1680" w:type="dxa"/>
            <w:vAlign w:val="bottom"/>
          </w:tcPr>
          <w:p>
            <w:pPr>
              <w:spacing w:after="0"/>
              <w:rPr>
                <w:sz w:val="20"/>
                <w:szCs w:val="20"/>
                <w:color w:val="auto"/>
              </w:rPr>
            </w:pPr>
          </w:p>
        </w:tc>
      </w:tr>
      <w:tr>
        <w:trPr>
          <w:trHeight w:val="410"/>
        </w:trPr>
        <w:tc>
          <w:tcPr>
            <w:tcW w:w="6180" w:type="dxa"/>
            <w:vAlign w:val="bottom"/>
          </w:tcPr>
          <w:p>
            <w:pPr>
              <w:jc w:val="center"/>
              <w:ind w:left="2390"/>
              <w:spacing w:after="0"/>
              <w:rPr>
                <w:sz w:val="20"/>
                <w:szCs w:val="20"/>
                <w:color w:val="auto"/>
              </w:rPr>
            </w:pPr>
            <w:r>
              <w:rPr>
                <w:rFonts w:ascii="Times New Roman" w:cs="Times New Roman" w:eastAsia="Times New Roman" w:hAnsi="Times New Roman"/>
                <w:sz w:val="18"/>
                <w:szCs w:val="18"/>
                <w:b w:val="1"/>
                <w:bCs w:val="1"/>
                <w:color w:val="auto"/>
                <w:w w:val="98"/>
              </w:rPr>
              <w:t>Glenn P. Sblendorio</w:t>
            </w:r>
          </w:p>
        </w:tc>
        <w:tc>
          <w:tcPr>
            <w:tcW w:w="1680" w:type="dxa"/>
            <w:vAlign w:val="bottom"/>
          </w:tcPr>
          <w:p>
            <w:pPr>
              <w:spacing w:after="0"/>
              <w:rPr>
                <w:sz w:val="24"/>
                <w:szCs w:val="24"/>
                <w:color w:val="auto"/>
              </w:rPr>
            </w:pPr>
          </w:p>
        </w:tc>
      </w:tr>
      <w:tr>
        <w:trPr>
          <w:trHeight w:val="216"/>
        </w:trPr>
        <w:tc>
          <w:tcPr>
            <w:tcW w:w="6180" w:type="dxa"/>
            <w:vAlign w:val="bottom"/>
          </w:tcPr>
          <w:p>
            <w:pPr>
              <w:jc w:val="center"/>
              <w:ind w:left="2370"/>
              <w:spacing w:after="0"/>
              <w:rPr>
                <w:sz w:val="20"/>
                <w:szCs w:val="20"/>
                <w:color w:val="auto"/>
              </w:rPr>
            </w:pPr>
            <w:r>
              <w:rPr>
                <w:rFonts w:ascii="Times New Roman" w:cs="Times New Roman" w:eastAsia="Times New Roman" w:hAnsi="Times New Roman"/>
                <w:sz w:val="18"/>
                <w:szCs w:val="18"/>
                <w:b w:val="1"/>
                <w:bCs w:val="1"/>
                <w:color w:val="auto"/>
                <w:w w:val="99"/>
              </w:rPr>
              <w:t>Chief Executive Officer</w:t>
            </w:r>
          </w:p>
        </w:tc>
        <w:tc>
          <w:tcPr>
            <w:tcW w:w="1680" w:type="dxa"/>
            <w:vAlign w:val="bottom"/>
          </w:tcPr>
          <w:p>
            <w:pPr>
              <w:spacing w:after="0"/>
              <w:rPr>
                <w:sz w:val="18"/>
                <w:szCs w:val="18"/>
                <w:color w:val="auto"/>
              </w:rPr>
            </w:pPr>
          </w:p>
        </w:tc>
      </w:tr>
      <w:tr>
        <w:trPr>
          <w:trHeight w:val="216"/>
        </w:trPr>
        <w:tc>
          <w:tcPr>
            <w:tcW w:w="6180" w:type="dxa"/>
            <w:vAlign w:val="bottom"/>
          </w:tcPr>
          <w:p>
            <w:pPr>
              <w:jc w:val="center"/>
              <w:ind w:left="2370"/>
              <w:spacing w:after="0"/>
              <w:rPr>
                <w:sz w:val="20"/>
                <w:szCs w:val="20"/>
                <w:color w:val="auto"/>
              </w:rPr>
            </w:pPr>
            <w:r>
              <w:rPr>
                <w:rFonts w:ascii="Times New Roman" w:cs="Times New Roman" w:eastAsia="Times New Roman" w:hAnsi="Times New Roman"/>
                <w:sz w:val="18"/>
                <w:szCs w:val="18"/>
                <w:b w:val="1"/>
                <w:bCs w:val="1"/>
                <w:color w:val="auto"/>
                <w:w w:val="99"/>
              </w:rPr>
              <w:t>IVERIC bio, Inc.</w:t>
            </w:r>
          </w:p>
        </w:tc>
        <w:tc>
          <w:tcPr>
            <w:tcW w:w="1680" w:type="dxa"/>
            <w:vAlign w:val="bottom"/>
          </w:tcPr>
          <w:p>
            <w:pPr>
              <w:spacing w:after="0"/>
              <w:rPr>
                <w:sz w:val="18"/>
                <w:szCs w:val="18"/>
                <w:color w:val="auto"/>
              </w:rPr>
            </w:pPr>
          </w:p>
        </w:tc>
      </w:tr>
      <w:tr>
        <w:trPr>
          <w:trHeight w:val="216"/>
        </w:trPr>
        <w:tc>
          <w:tcPr>
            <w:tcW w:w="6180" w:type="dxa"/>
            <w:vAlign w:val="bottom"/>
          </w:tcPr>
          <w:p>
            <w:pPr>
              <w:jc w:val="center"/>
              <w:ind w:left="2370"/>
              <w:spacing w:after="0"/>
              <w:rPr>
                <w:sz w:val="20"/>
                <w:szCs w:val="20"/>
                <w:color w:val="auto"/>
              </w:rPr>
            </w:pPr>
            <w:r>
              <w:rPr>
                <w:rFonts w:ascii="Times New Roman" w:cs="Times New Roman" w:eastAsia="Times New Roman" w:hAnsi="Times New Roman"/>
                <w:sz w:val="18"/>
                <w:szCs w:val="18"/>
                <w:b w:val="1"/>
                <w:bCs w:val="1"/>
                <w:color w:val="auto"/>
                <w:w w:val="98"/>
              </w:rPr>
              <w:t>8 Sylvan Way</w:t>
            </w:r>
          </w:p>
        </w:tc>
        <w:tc>
          <w:tcPr>
            <w:tcW w:w="1680" w:type="dxa"/>
            <w:vAlign w:val="bottom"/>
          </w:tcPr>
          <w:p>
            <w:pPr>
              <w:spacing w:after="0"/>
              <w:rPr>
                <w:sz w:val="18"/>
                <w:szCs w:val="18"/>
                <w:color w:val="auto"/>
              </w:rPr>
            </w:pPr>
          </w:p>
        </w:tc>
      </w:tr>
      <w:tr>
        <w:trPr>
          <w:trHeight w:val="220"/>
        </w:trPr>
        <w:tc>
          <w:tcPr>
            <w:tcW w:w="6180" w:type="dxa"/>
            <w:vAlign w:val="bottom"/>
          </w:tcPr>
          <w:p>
            <w:pPr>
              <w:jc w:val="center"/>
              <w:ind w:left="2370"/>
              <w:spacing w:after="0"/>
              <w:rPr>
                <w:sz w:val="20"/>
                <w:szCs w:val="20"/>
                <w:color w:val="auto"/>
              </w:rPr>
            </w:pPr>
            <w:r>
              <w:rPr>
                <w:rFonts w:ascii="Times New Roman" w:cs="Times New Roman" w:eastAsia="Times New Roman" w:hAnsi="Times New Roman"/>
                <w:sz w:val="18"/>
                <w:szCs w:val="18"/>
                <w:b w:val="1"/>
                <w:bCs w:val="1"/>
                <w:color w:val="auto"/>
                <w:w w:val="99"/>
              </w:rPr>
              <w:t>Parsippany, New Jersey 07054</w:t>
            </w:r>
          </w:p>
        </w:tc>
        <w:tc>
          <w:tcPr>
            <w:tcW w:w="1680" w:type="dxa"/>
            <w:vAlign w:val="bottom"/>
          </w:tcPr>
          <w:p>
            <w:pPr>
              <w:spacing w:after="0"/>
              <w:rPr>
                <w:sz w:val="19"/>
                <w:szCs w:val="19"/>
                <w:color w:val="auto"/>
              </w:rPr>
            </w:pPr>
          </w:p>
        </w:tc>
      </w:tr>
      <w:tr>
        <w:trPr>
          <w:trHeight w:val="234"/>
        </w:trPr>
        <w:tc>
          <w:tcPr>
            <w:tcW w:w="6180" w:type="dxa"/>
            <w:vAlign w:val="bottom"/>
          </w:tcPr>
          <w:p>
            <w:pPr>
              <w:jc w:val="center"/>
              <w:ind w:left="2370"/>
              <w:spacing w:after="0"/>
              <w:rPr>
                <w:sz w:val="20"/>
                <w:szCs w:val="20"/>
                <w:color w:val="auto"/>
              </w:rPr>
            </w:pPr>
            <w:r>
              <w:rPr>
                <w:rFonts w:ascii="Times New Roman" w:cs="Times New Roman" w:eastAsia="Times New Roman" w:hAnsi="Times New Roman"/>
                <w:sz w:val="18"/>
                <w:szCs w:val="18"/>
                <w:color w:val="auto"/>
                <w:w w:val="99"/>
              </w:rPr>
              <w:t>(Name and Address of Agent for Service)</w:t>
            </w:r>
          </w:p>
        </w:tc>
        <w:tc>
          <w:tcPr>
            <w:tcW w:w="168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(212) 845-8200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(Telephone Number, Including Area Code, of Agent For Service)</w:t>
      </w:r>
    </w:p>
    <w:p>
      <w:pPr>
        <w:spacing w:after="0" w:line="207" w:lineRule="exact"/>
        <w:rPr>
          <w:sz w:val="24"/>
          <w:szCs w:val="24"/>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468" w:right="339" w:bottom="1440" w:gutter="0" w:footer="0" w:header="0"/>
        </w:sectPr>
      </w:pPr>
    </w:p>
    <w:p>
      <w:pPr>
        <w:spacing w:after="0" w:line="14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jc w:val="center"/>
        <w:ind w:right="3980"/>
        <w:spacing w:after="0" w:line="196" w:lineRule="exact"/>
        <w:rPr>
          <w:sz w:val="20"/>
          <w:szCs w:val="20"/>
          <w:color w:val="auto"/>
        </w:rPr>
      </w:pP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38" w:orient="portrait"/>
          <w:cols w:equalWidth="0" w:num="2">
            <w:col w:w="5140" w:space="720"/>
            <w:col w:w="5380"/>
          </w:cols>
          <w:pgMar w:left="320" w:top="468" w:right="339" w:bottom="1440" w:gutter="0" w:footer="0" w:header="0"/>
          <w:type w:val="continuous"/>
        </w:sectPr>
      </w:pPr>
    </w:p>
    <w:p>
      <w:pPr>
        <w:spacing w:after="0" w:line="3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38" w:orient="portrait"/>
          <w:cols w:equalWidth="0" w:num="2">
            <w:col w:w="5140" w:space="720"/>
            <w:col w:w="5380"/>
          </w:cols>
          <w:pgMar w:left="320" w:top="468" w:right="339" w:bottom="1440" w:gutter="0" w:footer="0" w:header="0"/>
          <w:type w:val="continuous"/>
        </w:sectPr>
      </w:pPr>
    </w:p>
    <w:p>
      <w:pPr>
        <w:spacing w:after="0" w:line="37" w:lineRule="exact"/>
        <w:rPr>
          <w:sz w:val="24"/>
          <w:szCs w:val="24"/>
          <w:color w:val="auto"/>
        </w:rPr>
      </w:pPr>
    </w:p>
    <w:p>
      <w:pPr>
        <w:ind w:left="58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ectPr>
          <w:pgSz w:w="11900" w:h="16838" w:orient="portrait"/>
          <w:cols w:equalWidth="0" w:num="1">
            <w:col w:w="11240"/>
          </w:cols>
          <w:pgMar w:left="320" w:top="468" w:right="339" w:bottom="1440" w:gutter="0" w:footer="0" w:header="0"/>
          <w:type w:val="continuous"/>
        </w:sectPr>
      </w:pPr>
    </w:p>
    <w:p>
      <w:pPr>
        <w:spacing w:after="0" w:line="265"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185420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339725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type w:val="continuous"/>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ind w:firstLine="648"/>
        <w:spacing w:after="0" w:line="253"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This Registration Statement on Form S-8, relating to the 2019 Inducement Stock Incentive Plan of IVERIC bio, Inc. (the “Registrant”), is being filed for the purpose of registering additional securities of the same class as other securities for which a Registration Statement on Form S-8 has previously been filed and is effective. Accordingly, this Registration Statement hereby incorporates by reference the contents of (i) the Registration Statement on </w:t>
      </w:r>
      <w:hyperlink r:id="rId13">
        <w:r>
          <w:rPr>
            <w:rFonts w:ascii="Times New Roman" w:cs="Times New Roman" w:eastAsia="Times New Roman" w:hAnsi="Times New Roman"/>
            <w:sz w:val="18"/>
            <w:szCs w:val="18"/>
            <w:u w:val="single" w:color="auto"/>
            <w:color w:val="0000EE"/>
          </w:rPr>
          <w:t>Form S-8, File No. 333-234404, filed with the Securities and Exchange Commission on October 31, 2019</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relating to the Registrant’s 2019 Inducement</w:t>
      </w:r>
      <w:r>
        <w:rPr>
          <w:rFonts w:ascii="Times New Roman" w:cs="Times New Roman" w:eastAsia="Times New Roman" w:hAnsi="Times New Roman"/>
          <w:sz w:val="18"/>
          <w:szCs w:val="18"/>
          <w:color w:val="0000EE"/>
        </w:rPr>
        <w:t xml:space="preserve"> </w:t>
      </w:r>
      <w:hyperlink r:id="rId14">
        <w:r>
          <w:rPr>
            <w:rFonts w:ascii="Times New Roman" w:cs="Times New Roman" w:eastAsia="Times New Roman" w:hAnsi="Times New Roman"/>
            <w:sz w:val="18"/>
            <w:szCs w:val="18"/>
            <w:color w:val="000000"/>
          </w:rPr>
          <w:t xml:space="preserve">Stock Incentive Plan; (ii) the Registration Statement on </w:t>
        </w:r>
        <w:r>
          <w:rPr>
            <w:rFonts w:ascii="Times New Roman" w:cs="Times New Roman" w:eastAsia="Times New Roman" w:hAnsi="Times New Roman"/>
            <w:sz w:val="18"/>
            <w:szCs w:val="18"/>
            <w:u w:val="single" w:color="auto"/>
            <w:color w:val="0000EE"/>
          </w:rPr>
          <w:t>Form S-8, File No. 333-238065, filed with the Securities and Exchange Commission on May 7,</w:t>
        </w:r>
      </w:hyperlink>
      <w:r>
        <w:rPr>
          <w:rFonts w:ascii="Times New Roman" w:cs="Times New Roman" w:eastAsia="Times New Roman" w:hAnsi="Times New Roman"/>
          <w:sz w:val="18"/>
          <w:szCs w:val="18"/>
          <w:color w:val="000000"/>
        </w:rPr>
        <w:t xml:space="preserve"> </w:t>
      </w:r>
      <w:hyperlink r:id="rId15">
        <w:r>
          <w:rPr>
            <w:rFonts w:ascii="Times New Roman" w:cs="Times New Roman" w:eastAsia="Times New Roman" w:hAnsi="Times New Roman"/>
            <w:sz w:val="18"/>
            <w:szCs w:val="18"/>
            <w:u w:val="single" w:color="auto"/>
            <w:color w:val="0000EE"/>
          </w:rPr>
          <w:t>2020</w:t>
        </w:r>
        <w:r>
          <w:rPr>
            <w:rFonts w:ascii="Times New Roman" w:cs="Times New Roman" w:eastAsia="Times New Roman" w:hAnsi="Times New Roman"/>
            <w:sz w:val="18"/>
            <w:szCs w:val="18"/>
            <w:color w:val="000000"/>
          </w:rPr>
          <w:t>, relating to the Registrant’s 2019 Inducement Stock Incentive Plan; (iii) the Registration Statement on</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Form S-8, File No. 333-253896, filed with the</w:t>
        </w:r>
      </w:hyperlink>
      <w:r>
        <w:rPr>
          <w:rFonts w:ascii="Times New Roman" w:cs="Times New Roman" w:eastAsia="Times New Roman" w:hAnsi="Times New Roman"/>
          <w:sz w:val="18"/>
          <w:szCs w:val="18"/>
          <w:color w:val="0000EE"/>
        </w:rPr>
        <w:t xml:space="preserve"> </w:t>
      </w:r>
      <w:hyperlink r:id="rId15">
        <w:r>
          <w:rPr>
            <w:rFonts w:ascii="Times New Roman" w:cs="Times New Roman" w:eastAsia="Times New Roman" w:hAnsi="Times New Roman"/>
            <w:sz w:val="18"/>
            <w:szCs w:val="18"/>
            <w:u w:val="single" w:color="auto"/>
            <w:color w:val="0000EE"/>
          </w:rPr>
          <w:t>Securities and Exchange Commission on March 5, 2021</w:t>
        </w:r>
        <w:r>
          <w:rPr>
            <w:rFonts w:ascii="Times New Roman" w:cs="Times New Roman" w:eastAsia="Times New Roman" w:hAnsi="Times New Roman"/>
            <w:sz w:val="18"/>
            <w:szCs w:val="18"/>
            <w:color w:val="000000"/>
          </w:rPr>
          <w:t>, relating to the Registrant’s 2019 Inducement Stock Incentive Plan; (iv) the Registration Statement</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 xml:space="preserve">on </w:t>
      </w:r>
      <w:hyperlink r:id="rId16">
        <w:r>
          <w:rPr>
            <w:rFonts w:ascii="Times New Roman" w:cs="Times New Roman" w:eastAsia="Times New Roman" w:hAnsi="Times New Roman"/>
            <w:sz w:val="18"/>
            <w:szCs w:val="18"/>
            <w:u w:val="single" w:color="auto"/>
            <w:color w:val="0000EE"/>
          </w:rPr>
          <w:t>Form S-8, File No. 333-260917, filed with the Securities and Exchange Commission on November 9, 2021</w:t>
        </w:r>
      </w:hyperlink>
      <w:r>
        <w:rPr>
          <w:rFonts w:ascii="Times New Roman" w:cs="Times New Roman" w:eastAsia="Times New Roman" w:hAnsi="Times New Roman"/>
          <w:sz w:val="18"/>
          <w:szCs w:val="18"/>
          <w:color w:val="000000"/>
        </w:rPr>
        <w:t xml:space="preserve">, relating to the Registrant’s 2019 Inducement </w:t>
      </w:r>
      <w:hyperlink r:id="rId17">
        <w:r>
          <w:rPr>
            <w:rFonts w:ascii="Times New Roman" w:cs="Times New Roman" w:eastAsia="Times New Roman" w:hAnsi="Times New Roman"/>
            <w:sz w:val="18"/>
            <w:szCs w:val="18"/>
            <w:color w:val="000000"/>
          </w:rPr>
          <w:t xml:space="preserve">Stock Incentive Plan; and (v) the Registration Statement on </w:t>
        </w:r>
        <w:r>
          <w:rPr>
            <w:rFonts w:ascii="Times New Roman" w:cs="Times New Roman" w:eastAsia="Times New Roman" w:hAnsi="Times New Roman"/>
            <w:sz w:val="18"/>
            <w:szCs w:val="18"/>
            <w:u w:val="single" w:color="auto"/>
            <w:color w:val="0000EE"/>
          </w:rPr>
          <w:t>Form S-8, File No. 333-262995, filed with the Securities and Exchange Commission on</w:t>
        </w:r>
      </w:hyperlink>
      <w:r>
        <w:rPr>
          <w:rFonts w:ascii="Times New Roman" w:cs="Times New Roman" w:eastAsia="Times New Roman" w:hAnsi="Times New Roman"/>
          <w:sz w:val="18"/>
          <w:szCs w:val="18"/>
          <w:color w:val="000000"/>
        </w:rPr>
        <w:t xml:space="preserve"> </w:t>
      </w:r>
      <w:hyperlink r:id="rId17">
        <w:r>
          <w:rPr>
            <w:rFonts w:ascii="Times New Roman" w:cs="Times New Roman" w:eastAsia="Times New Roman" w:hAnsi="Times New Roman"/>
            <w:sz w:val="18"/>
            <w:szCs w:val="18"/>
            <w:u w:val="single" w:color="auto"/>
            <w:color w:val="0000EE"/>
          </w:rPr>
          <w:t>February 24, 2022</w:t>
        </w:r>
        <w:r>
          <w:rPr>
            <w:rFonts w:ascii="Times New Roman" w:cs="Times New Roman" w:eastAsia="Times New Roman" w:hAnsi="Times New Roman"/>
            <w:sz w:val="18"/>
            <w:szCs w:val="18"/>
            <w:color w:val="000000"/>
          </w:rPr>
          <w:t xml:space="preserve">, relating to the Registrant’s 2019 Inducement Stock Incentive Plan, in each case except for Item 8, Exhibits, with respect to which </w:t>
        </w:r>
      </w:hyperlink>
      <w:r>
        <w:rPr>
          <w:rFonts w:ascii="Times New Roman" w:cs="Times New Roman" w:eastAsia="Times New Roman" w:hAnsi="Times New Roman"/>
          <w:sz w:val="18"/>
          <w:szCs w:val="18"/>
          <w:color w:val="0000EE"/>
        </w:rPr>
        <w:t xml:space="preserve">the </w:t>
      </w:r>
      <w:r>
        <w:rPr>
          <w:rFonts w:ascii="Times New Roman" w:cs="Times New Roman" w:eastAsia="Times New Roman" w:hAnsi="Times New Roman"/>
          <w:sz w:val="18"/>
          <w:szCs w:val="18"/>
          <w:color w:val="000000"/>
        </w:rPr>
        <w:t>Exhibit Index immediately preceding the exhibits attached hereto is incorporated herein by reference.</w:t>
      </w:r>
    </w:p>
    <w:p>
      <w:pPr>
        <w:spacing w:after="0" w:line="20" w:lineRule="exact"/>
        <w:rPr>
          <w:rFonts w:ascii="Times New Roman" w:cs="Times New Roman" w:eastAsia="Times New Roman" w:hAnsi="Times New Roman"/>
          <w:sz w:val="18"/>
          <w:szCs w:val="18"/>
          <w:color w:val="000000"/>
        </w:rPr>
      </w:pPr>
      <w:r>
        <w:rPr>
          <w:rFonts w:ascii="Times New Roman" w:cs="Times New Roman" w:eastAsia="Times New Roman" w:hAnsi="Times New Roman"/>
          <w:sz w:val="18"/>
          <w:szCs w:val="18"/>
          <w:color w:val="000000"/>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7340" w:type="dxa"/>
            <w:vAlign w:val="bottom"/>
            <w:gridSpan w:val="15"/>
          </w:tcPr>
          <w:p>
            <w:pPr>
              <w:jc w:val="center"/>
              <w:ind w:right="3880"/>
              <w:spacing w:after="0"/>
              <w:rPr>
                <w:sz w:val="20"/>
                <w:szCs w:val="20"/>
                <w:color w:val="auto"/>
              </w:rPr>
            </w:pPr>
            <w:r>
              <w:rPr>
                <w:rFonts w:ascii="Times New Roman" w:cs="Times New Roman" w:eastAsia="Times New Roman" w:hAnsi="Times New Roman"/>
                <w:sz w:val="18"/>
                <w:szCs w:val="18"/>
                <w:b w:val="1"/>
                <w:bCs w:val="1"/>
                <w:color w:val="auto"/>
                <w:w w:val="97"/>
              </w:rPr>
              <w:t>PART II</w:t>
            </w:r>
          </w:p>
        </w:tc>
      </w:tr>
      <w:tr>
        <w:trPr>
          <w:trHeight w:val="432"/>
        </w:trPr>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60" w:type="dxa"/>
            <w:vAlign w:val="bottom"/>
            <w:gridSpan w:val="16"/>
          </w:tcPr>
          <w:p>
            <w:pPr>
              <w:jc w:val="center"/>
              <w:ind w:right="1580"/>
              <w:spacing w:after="0"/>
              <w:rPr>
                <w:sz w:val="20"/>
                <w:szCs w:val="20"/>
                <w:color w:val="auto"/>
              </w:rPr>
            </w:pPr>
            <w:r>
              <w:rPr>
                <w:rFonts w:ascii="Times New Roman" w:cs="Times New Roman" w:eastAsia="Times New Roman" w:hAnsi="Times New Roman"/>
                <w:sz w:val="18"/>
                <w:szCs w:val="18"/>
                <w:b w:val="1"/>
                <w:bCs w:val="1"/>
                <w:color w:val="auto"/>
                <w:w w:val="99"/>
              </w:rPr>
              <w:t>INFORMATION REQUIRED IN THE REGISTRATION STATEMENT</w:t>
            </w:r>
          </w:p>
        </w:tc>
      </w:tr>
      <w:tr>
        <w:trPr>
          <w:trHeight w:val="432"/>
        </w:trPr>
        <w:tc>
          <w:tcPr>
            <w:tcW w:w="158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Item 8. Exhibits.</w:t>
            </w:r>
          </w:p>
        </w:tc>
        <w:tc>
          <w:tcPr>
            <w:tcW w:w="23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45"/>
        </w:trPr>
        <w:tc>
          <w:tcPr>
            <w:tcW w:w="158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966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800" w:type="dxa"/>
            <w:vAlign w:val="bottom"/>
            <w:tcBorders>
              <w:top w:val="single" w:sz="8" w:color="auto"/>
            </w:tcBorders>
            <w:gridSpan w:val="2"/>
          </w:tcPr>
          <w:p>
            <w:pPr>
              <w:jc w:val="center"/>
              <w:ind w:left="490"/>
              <w:spacing w:after="0" w:line="169" w:lineRule="exact"/>
              <w:rPr>
                <w:rFonts w:ascii="Times New Roman" w:cs="Times New Roman" w:eastAsia="Times New Roman" w:hAnsi="Times New Roman"/>
                <w:sz w:val="18"/>
                <w:szCs w:val="18"/>
                <w:color w:val="0000EE"/>
                <w:w w:val="97"/>
              </w:rPr>
            </w:pPr>
            <w:hyperlink r:id="rId19">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1</w:t>
              </w:r>
            </w:hyperlink>
          </w:p>
        </w:tc>
        <w:tc>
          <w:tcPr>
            <w:tcW w:w="4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9660" w:type="dxa"/>
            <w:vAlign w:val="bottom"/>
            <w:tcBorders>
              <w:top w:val="single" w:sz="8" w:color="auto"/>
            </w:tcBorders>
            <w:gridSpan w:val="16"/>
          </w:tcPr>
          <w:p>
            <w:pPr>
              <w:spacing w:after="0" w:line="169" w:lineRule="exact"/>
              <w:rPr>
                <w:rFonts w:ascii="Times New Roman" w:cs="Times New Roman" w:eastAsia="Times New Roman" w:hAnsi="Times New Roman"/>
                <w:sz w:val="18"/>
                <w:szCs w:val="18"/>
                <w:color w:val="0000EE"/>
              </w:rPr>
            </w:pPr>
            <w:hyperlink r:id="rId19">
              <w:r>
                <w:rPr>
                  <w:rFonts w:ascii="Times New Roman" w:cs="Times New Roman" w:eastAsia="Times New Roman" w:hAnsi="Times New Roman"/>
                  <w:sz w:val="18"/>
                  <w:szCs w:val="18"/>
                  <w:color w:val="0000EE"/>
                </w:rPr>
                <w:t>Restated Certificate of Incorporation of the Registrant, as amended on April 16, 2019 (incorporated by reference to Exhibit 3.1 of the</w:t>
              </w:r>
            </w:hyperlink>
          </w:p>
        </w:tc>
      </w:tr>
      <w:tr>
        <w:trPr>
          <w:trHeight w:val="196"/>
        </w:trPr>
        <w:tc>
          <w:tcPr>
            <w:tcW w:w="58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20" w:type="dxa"/>
            <w:vAlign w:val="bottom"/>
            <w:tcBorders>
              <w:top w:val="single" w:sz="8" w:color="0000EE"/>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19">
              <w:r>
                <w:rPr>
                  <w:rFonts w:ascii="Times New Roman" w:cs="Times New Roman" w:eastAsia="Times New Roman" w:hAnsi="Times New Roman"/>
                  <w:sz w:val="18"/>
                  <w:szCs w:val="18"/>
                  <w:color w:val="0000EE"/>
                  <w:w w:val="99"/>
                </w:rPr>
                <w:t>Registrant’s Annual Report on Form 10-K, filed with the Commission on March 4, 2021 (File No. 001-36080))</w:t>
              </w:r>
            </w:hyperlink>
          </w:p>
        </w:tc>
        <w:tc>
          <w:tcPr>
            <w:tcW w:w="1580" w:type="dxa"/>
            <w:vAlign w:val="bottom"/>
            <w:tcBorders>
              <w:top w:val="single" w:sz="8" w:color="0000EE"/>
            </w:tcBorders>
            <w:gridSpan w:val="4"/>
          </w:tcPr>
          <w:p>
            <w:pPr>
              <w:spacing w:after="0"/>
              <w:rPr>
                <w:sz w:val="17"/>
                <w:szCs w:val="17"/>
                <w:color w:val="auto"/>
              </w:rPr>
            </w:pPr>
          </w:p>
        </w:tc>
        <w:tc>
          <w:tcPr>
            <w:tcW w:w="60" w:type="dxa"/>
            <w:vAlign w:val="bottom"/>
          </w:tcPr>
          <w:p>
            <w:pPr>
              <w:spacing w:after="0"/>
              <w:rPr>
                <w:sz w:val="17"/>
                <w:szCs w:val="17"/>
                <w:color w:val="auto"/>
              </w:rPr>
            </w:pPr>
          </w:p>
        </w:tc>
      </w:tr>
      <w:tr>
        <w:trPr>
          <w:trHeight w:val="372"/>
        </w:trPr>
        <w:tc>
          <w:tcPr>
            <w:tcW w:w="800" w:type="dxa"/>
            <w:vAlign w:val="bottom"/>
            <w:gridSpan w:val="2"/>
          </w:tcPr>
          <w:p>
            <w:pPr>
              <w:jc w:val="center"/>
              <w:ind w:left="490"/>
              <w:spacing w:after="0"/>
              <w:rPr>
                <w:rFonts w:ascii="Times New Roman" w:cs="Times New Roman" w:eastAsia="Times New Roman" w:hAnsi="Times New Roman"/>
                <w:sz w:val="18"/>
                <w:szCs w:val="18"/>
                <w:color w:val="0000EE"/>
                <w:w w:val="97"/>
              </w:rPr>
            </w:pPr>
            <w:hyperlink r:id="rId20">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2</w:t>
              </w:r>
            </w:hyperlink>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60" w:type="dxa"/>
            <w:vAlign w:val="bottom"/>
            <w:gridSpan w:val="16"/>
          </w:tcPr>
          <w:p>
            <w:pPr>
              <w:spacing w:after="0"/>
              <w:rPr>
                <w:rFonts w:ascii="Times New Roman" w:cs="Times New Roman" w:eastAsia="Times New Roman" w:hAnsi="Times New Roman"/>
                <w:sz w:val="18"/>
                <w:szCs w:val="18"/>
                <w:color w:val="0000EE"/>
              </w:rPr>
            </w:pPr>
            <w:hyperlink r:id="rId20">
              <w:r>
                <w:rPr>
                  <w:rFonts w:ascii="Times New Roman" w:cs="Times New Roman" w:eastAsia="Times New Roman" w:hAnsi="Times New Roman"/>
                  <w:sz w:val="18"/>
                  <w:szCs w:val="18"/>
                  <w:color w:val="0000EE"/>
                </w:rPr>
                <w:t>Amended and Restated Bylaws of the Registrant (incorporated by reference to Exhibit 3.4 of the Registrant’s Registration Statement</w:t>
              </w:r>
            </w:hyperlink>
          </w:p>
        </w:tc>
      </w:tr>
      <w:tr>
        <w:trPr>
          <w:trHeight w:val="196"/>
        </w:trPr>
        <w:tc>
          <w:tcPr>
            <w:tcW w:w="58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56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20">
              <w:r>
                <w:rPr>
                  <w:rFonts w:ascii="Times New Roman" w:cs="Times New Roman" w:eastAsia="Times New Roman" w:hAnsi="Times New Roman"/>
                  <w:sz w:val="18"/>
                  <w:szCs w:val="18"/>
                  <w:color w:val="0000EE"/>
                </w:rPr>
                <w:t>on Form S-1, as amended, filed with the Commission on September 9, 2013 (File No. 333-190643))</w:t>
              </w:r>
            </w:hyperlink>
          </w:p>
        </w:tc>
        <w:tc>
          <w:tcPr>
            <w:tcW w:w="100" w:type="dxa"/>
            <w:vAlign w:val="bottom"/>
            <w:gridSpan w:val="2"/>
          </w:tcPr>
          <w:p>
            <w:pPr>
              <w:spacing w:after="0"/>
              <w:rPr>
                <w:sz w:val="17"/>
                <w:szCs w:val="17"/>
                <w:color w:val="auto"/>
              </w:rPr>
            </w:pPr>
          </w:p>
        </w:tc>
      </w:tr>
      <w:tr>
        <w:trPr>
          <w:trHeight w:val="372"/>
        </w:trPr>
        <w:tc>
          <w:tcPr>
            <w:tcW w:w="580" w:type="dxa"/>
            <w:vAlign w:val="bottom"/>
          </w:tcPr>
          <w:p>
            <w:pPr>
              <w:spacing w:after="0"/>
              <w:rPr>
                <w:sz w:val="24"/>
                <w:szCs w:val="24"/>
                <w:color w:val="auto"/>
              </w:rPr>
            </w:pPr>
          </w:p>
        </w:tc>
        <w:tc>
          <w:tcPr>
            <w:tcW w:w="2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0000EE"/>
                <w:w w:val="82"/>
              </w:rPr>
              <w:t>5.</w:t>
            </w:r>
            <w:r>
              <w:rPr>
                <w:rFonts w:ascii="Times New Roman" w:cs="Times New Roman" w:eastAsia="Times New Roman" w:hAnsi="Times New Roman"/>
                <w:sz w:val="18"/>
                <w:szCs w:val="18"/>
                <w:u w:val="single" w:color="auto"/>
                <w:color w:val="0000EE"/>
                <w:w w:val="82"/>
              </w:rPr>
              <w:t>1*</w:t>
            </w: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0" w:type="dxa"/>
            <w:vAlign w:val="bottom"/>
            <w:tcBorders>
              <w:top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rPr>
              <w:t>Opinion of Wilmer Cutler Pickering Hale and Dorr LLP, counsel to the Registrant</w:t>
            </w:r>
          </w:p>
        </w:tc>
        <w:tc>
          <w:tcPr>
            <w:tcW w:w="2460" w:type="dxa"/>
            <w:vAlign w:val="bottom"/>
            <w:gridSpan w:val="6"/>
          </w:tcPr>
          <w:p>
            <w:pPr>
              <w:spacing w:after="0"/>
              <w:rPr>
                <w:sz w:val="24"/>
                <w:szCs w:val="24"/>
                <w:color w:val="auto"/>
              </w:rPr>
            </w:pPr>
          </w:p>
        </w:tc>
      </w:tr>
      <w:tr>
        <w:trPr>
          <w:trHeight w:val="20"/>
        </w:trPr>
        <w:tc>
          <w:tcPr>
            <w:tcW w:w="580" w:type="dxa"/>
            <w:vAlign w:val="bottom"/>
            <w:tcBorders>
              <w:right w:val="single" w:sz="8" w:color="0000EE"/>
            </w:tcBorders>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20" w:type="dxa"/>
            <w:vAlign w:val="bottom"/>
            <w:shd w:val="clear" w:color="auto" w:fill="0000EE"/>
          </w:tcPr>
          <w:p>
            <w:pPr>
              <w:spacing w:after="0" w:line="20" w:lineRule="exact"/>
              <w:rPr>
                <w:sz w:val="1"/>
                <w:szCs w:val="1"/>
                <w:color w:val="auto"/>
              </w:rPr>
            </w:pPr>
          </w:p>
        </w:tc>
        <w:tc>
          <w:tcPr>
            <w:tcW w:w="23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372"/>
        </w:trPr>
        <w:tc>
          <w:tcPr>
            <w:tcW w:w="580" w:type="dxa"/>
            <w:vAlign w:val="bottom"/>
          </w:tcPr>
          <w:p>
            <w:pPr>
              <w:spacing w:after="0"/>
              <w:rPr>
                <w:sz w:val="24"/>
                <w:szCs w:val="24"/>
                <w:color w:val="auto"/>
              </w:rPr>
            </w:pPr>
          </w:p>
        </w:tc>
        <w:tc>
          <w:tcPr>
            <w:tcW w:w="260" w:type="dxa"/>
            <w:vAlign w:val="bottom"/>
            <w:tcBorders>
              <w:bottom w:val="single" w:sz="8" w:color="0000EE"/>
            </w:tcBorders>
            <w:gridSpan w:val="2"/>
          </w:tcPr>
          <w:p>
            <w:pPr>
              <w:jc w:val="center"/>
              <w:spacing w:after="0"/>
              <w:rPr>
                <w:sz w:val="20"/>
                <w:szCs w:val="20"/>
                <w:color w:val="auto"/>
              </w:rPr>
            </w:pPr>
            <w:r>
              <w:rPr>
                <w:rFonts w:ascii="Times New Roman" w:cs="Times New Roman" w:eastAsia="Times New Roman" w:hAnsi="Times New Roman"/>
                <w:sz w:val="18"/>
                <w:szCs w:val="18"/>
                <w:color w:val="0000EE"/>
                <w:w w:val="73"/>
              </w:rPr>
              <w:t>23.</w:t>
            </w:r>
            <w:r>
              <w:rPr>
                <w:rFonts w:ascii="Times New Roman" w:cs="Times New Roman" w:eastAsia="Times New Roman" w:hAnsi="Times New Roman"/>
                <w:sz w:val="18"/>
                <w:szCs w:val="18"/>
                <w:u w:val="single" w:color="auto"/>
                <w:color w:val="0000EE"/>
                <w:w w:val="73"/>
              </w:rPr>
              <w:t>1*</w:t>
            </w: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8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Consent of Ernst &amp; Young LLP, independent registered public accounting firm</w:t>
            </w:r>
          </w:p>
        </w:tc>
        <w:tc>
          <w:tcPr>
            <w:tcW w:w="3980" w:type="dxa"/>
            <w:vAlign w:val="bottom"/>
            <w:gridSpan w:val="12"/>
          </w:tcPr>
          <w:p>
            <w:pPr>
              <w:spacing w:after="0"/>
              <w:rPr>
                <w:sz w:val="24"/>
                <w:szCs w:val="24"/>
                <w:color w:val="auto"/>
              </w:rPr>
            </w:pPr>
          </w:p>
        </w:tc>
      </w:tr>
      <w:tr>
        <w:trPr>
          <w:trHeight w:val="372"/>
        </w:trPr>
        <w:tc>
          <w:tcPr>
            <w:tcW w:w="580" w:type="dxa"/>
            <w:vAlign w:val="bottom"/>
          </w:tcPr>
          <w:p>
            <w:pPr>
              <w:spacing w:after="0"/>
              <w:rPr>
                <w:sz w:val="24"/>
                <w:szCs w:val="24"/>
                <w:color w:val="auto"/>
              </w:rPr>
            </w:pPr>
          </w:p>
        </w:tc>
        <w:tc>
          <w:tcPr>
            <w:tcW w:w="2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0000EE"/>
                <w:w w:val="73"/>
              </w:rPr>
              <w:t>23.</w:t>
            </w:r>
            <w:r>
              <w:rPr>
                <w:rFonts w:ascii="Times New Roman" w:cs="Times New Roman" w:eastAsia="Times New Roman" w:hAnsi="Times New Roman"/>
                <w:sz w:val="18"/>
                <w:szCs w:val="18"/>
                <w:u w:val="single" w:color="auto"/>
                <w:color w:val="0000EE"/>
                <w:w w:val="73"/>
              </w:rPr>
              <w:t>2*</w:t>
            </w: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6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Consent of Wilmer Cutler Pickering Hale and Dorr LLP (included in Exhibit 5.1)</w:t>
            </w:r>
          </w:p>
        </w:tc>
      </w:tr>
      <w:tr>
        <w:trPr>
          <w:trHeight w:val="20"/>
        </w:trPr>
        <w:tc>
          <w:tcPr>
            <w:tcW w:w="580" w:type="dxa"/>
            <w:vAlign w:val="bottom"/>
            <w:tcBorders>
              <w:right w:val="single" w:sz="8" w:color="0000EE"/>
            </w:tcBorders>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2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20" w:type="dxa"/>
            <w:vAlign w:val="bottom"/>
            <w:shd w:val="clear" w:color="auto" w:fill="0000EE"/>
          </w:tcPr>
          <w:p>
            <w:pPr>
              <w:spacing w:after="0" w:line="20" w:lineRule="exact"/>
              <w:rPr>
                <w:sz w:val="1"/>
                <w:szCs w:val="1"/>
                <w:color w:val="auto"/>
              </w:rPr>
            </w:pPr>
          </w:p>
        </w:tc>
        <w:tc>
          <w:tcPr>
            <w:tcW w:w="23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371"/>
        </w:trPr>
        <w:tc>
          <w:tcPr>
            <w:tcW w:w="580" w:type="dxa"/>
            <w:vAlign w:val="bottom"/>
          </w:tcPr>
          <w:p>
            <w:pPr>
              <w:spacing w:after="0"/>
              <w:rPr>
                <w:sz w:val="24"/>
                <w:szCs w:val="24"/>
                <w:color w:val="auto"/>
              </w:rPr>
            </w:pPr>
          </w:p>
        </w:tc>
        <w:tc>
          <w:tcPr>
            <w:tcW w:w="2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0000EE"/>
                <w:w w:val="73"/>
              </w:rPr>
              <w:t>24.</w:t>
            </w:r>
            <w:r>
              <w:rPr>
                <w:rFonts w:ascii="Times New Roman" w:cs="Times New Roman" w:eastAsia="Times New Roman" w:hAnsi="Times New Roman"/>
                <w:sz w:val="18"/>
                <w:szCs w:val="18"/>
                <w:u w:val="single" w:color="auto"/>
                <w:color w:val="0000EE"/>
                <w:w w:val="73"/>
              </w:rPr>
              <w:t>1*</w:t>
            </w: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6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Power of Attorney (included on the signature pages of this Registration Statement)</w:t>
            </w:r>
          </w:p>
        </w:tc>
      </w:tr>
      <w:tr>
        <w:trPr>
          <w:trHeight w:val="20"/>
        </w:trPr>
        <w:tc>
          <w:tcPr>
            <w:tcW w:w="580" w:type="dxa"/>
            <w:vAlign w:val="bottom"/>
            <w:tcBorders>
              <w:right w:val="single" w:sz="8" w:color="0000EE"/>
            </w:tcBorders>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2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20" w:type="dxa"/>
            <w:vAlign w:val="bottom"/>
            <w:shd w:val="clear" w:color="auto" w:fill="0000EE"/>
          </w:tcPr>
          <w:p>
            <w:pPr>
              <w:spacing w:after="0" w:line="20" w:lineRule="exact"/>
              <w:rPr>
                <w:sz w:val="1"/>
                <w:szCs w:val="1"/>
                <w:color w:val="auto"/>
              </w:rPr>
            </w:pPr>
          </w:p>
        </w:tc>
        <w:tc>
          <w:tcPr>
            <w:tcW w:w="23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372"/>
        </w:trPr>
        <w:tc>
          <w:tcPr>
            <w:tcW w:w="580" w:type="dxa"/>
            <w:vAlign w:val="bottom"/>
          </w:tcPr>
          <w:p>
            <w:pPr>
              <w:spacing w:after="0"/>
              <w:rPr>
                <w:sz w:val="24"/>
                <w:szCs w:val="24"/>
                <w:color w:val="auto"/>
              </w:rPr>
            </w:pPr>
          </w:p>
        </w:tc>
        <w:tc>
          <w:tcPr>
            <w:tcW w:w="260" w:type="dxa"/>
            <w:vAlign w:val="bottom"/>
            <w:tcBorders>
              <w:bottom w:val="single" w:sz="8" w:color="0000EE"/>
            </w:tcBorders>
            <w:gridSpan w:val="2"/>
          </w:tcPr>
          <w:p>
            <w:pPr>
              <w:jc w:val="center"/>
              <w:spacing w:after="0"/>
              <w:rPr>
                <w:rFonts w:ascii="Times New Roman" w:cs="Times New Roman" w:eastAsia="Times New Roman" w:hAnsi="Times New Roman"/>
                <w:sz w:val="18"/>
                <w:szCs w:val="18"/>
                <w:color w:val="0000EE"/>
                <w:w w:val="82"/>
              </w:rPr>
            </w:pPr>
            <w:hyperlink r:id="rId21">
              <w:r>
                <w:rPr>
                  <w:rFonts w:ascii="Times New Roman" w:cs="Times New Roman" w:eastAsia="Times New Roman" w:hAnsi="Times New Roman"/>
                  <w:sz w:val="18"/>
                  <w:szCs w:val="18"/>
                  <w:color w:val="0000EE"/>
                  <w:w w:val="82"/>
                </w:rPr>
                <w:t>99.</w:t>
              </w:r>
              <w:r>
                <w:rPr>
                  <w:rFonts w:ascii="Times New Roman" w:cs="Times New Roman" w:eastAsia="Times New Roman" w:hAnsi="Times New Roman"/>
                  <w:sz w:val="18"/>
                  <w:szCs w:val="18"/>
                  <w:u w:val="single" w:color="auto"/>
                  <w:color w:val="0000EE"/>
                  <w:w w:val="82"/>
                </w:rPr>
                <w:t>1</w:t>
              </w:r>
            </w:hyperlink>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56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r:id="rId21">
              <w:r>
                <w:rPr>
                  <w:rFonts w:ascii="Times New Roman" w:cs="Times New Roman" w:eastAsia="Times New Roman" w:hAnsi="Times New Roman"/>
                  <w:sz w:val="18"/>
                  <w:szCs w:val="18"/>
                  <w:color w:val="0000EE"/>
                  <w:w w:val="99"/>
                </w:rPr>
                <w:t>2019 Inducement Stock Incentive Plan (incorporated by reference to Exhibit 10.10 of the Registrant’s Annual Report on Form 10-K,</w:t>
              </w:r>
            </w:hyperlink>
          </w:p>
        </w:tc>
        <w:tc>
          <w:tcPr>
            <w:tcW w:w="100" w:type="dxa"/>
            <w:vAlign w:val="bottom"/>
            <w:gridSpan w:val="2"/>
          </w:tcPr>
          <w:p>
            <w:pPr>
              <w:spacing w:after="0"/>
              <w:rPr>
                <w:sz w:val="24"/>
                <w:szCs w:val="24"/>
                <w:color w:val="auto"/>
              </w:rPr>
            </w:pPr>
          </w:p>
        </w:tc>
      </w:tr>
      <w:tr>
        <w:trPr>
          <w:trHeight w:val="196"/>
        </w:trPr>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16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21">
              <w:r>
                <w:rPr>
                  <w:rFonts w:ascii="Times New Roman" w:cs="Times New Roman" w:eastAsia="Times New Roman" w:hAnsi="Times New Roman"/>
                  <w:sz w:val="18"/>
                  <w:szCs w:val="18"/>
                  <w:color w:val="0000EE"/>
                  <w:w w:val="99"/>
                </w:rPr>
                <w:t>filed with the Commission on February 27, 2020 (File No. 001-36080))</w:t>
              </w:r>
            </w:hyperlink>
          </w:p>
        </w:tc>
        <w:tc>
          <w:tcPr>
            <w:tcW w:w="4500" w:type="dxa"/>
            <w:vAlign w:val="bottom"/>
            <w:gridSpan w:val="13"/>
          </w:tcPr>
          <w:p>
            <w:pPr>
              <w:spacing w:after="0"/>
              <w:rPr>
                <w:sz w:val="17"/>
                <w:szCs w:val="17"/>
                <w:color w:val="auto"/>
              </w:rPr>
            </w:pPr>
          </w:p>
        </w:tc>
      </w:tr>
      <w:tr>
        <w:trPr>
          <w:trHeight w:val="372"/>
        </w:trPr>
        <w:tc>
          <w:tcPr>
            <w:tcW w:w="580" w:type="dxa"/>
            <w:vAlign w:val="bottom"/>
          </w:tcPr>
          <w:p>
            <w:pPr>
              <w:spacing w:after="0"/>
              <w:rPr>
                <w:sz w:val="24"/>
                <w:szCs w:val="24"/>
                <w:color w:val="auto"/>
              </w:rPr>
            </w:pPr>
          </w:p>
        </w:tc>
        <w:tc>
          <w:tcPr>
            <w:tcW w:w="260" w:type="dxa"/>
            <w:vAlign w:val="bottom"/>
            <w:tcBorders>
              <w:bottom w:val="single" w:sz="8" w:color="0000EE"/>
            </w:tcBorders>
            <w:gridSpan w:val="2"/>
          </w:tcPr>
          <w:p>
            <w:pPr>
              <w:jc w:val="center"/>
              <w:spacing w:after="0"/>
              <w:rPr>
                <w:rFonts w:ascii="Times New Roman" w:cs="Times New Roman" w:eastAsia="Times New Roman" w:hAnsi="Times New Roman"/>
                <w:sz w:val="18"/>
                <w:szCs w:val="18"/>
                <w:color w:val="0000EE"/>
                <w:w w:val="82"/>
              </w:rPr>
            </w:pPr>
            <w:hyperlink r:id="rId22">
              <w:r>
                <w:rPr>
                  <w:rFonts w:ascii="Times New Roman" w:cs="Times New Roman" w:eastAsia="Times New Roman" w:hAnsi="Times New Roman"/>
                  <w:sz w:val="18"/>
                  <w:szCs w:val="18"/>
                  <w:color w:val="0000EE"/>
                  <w:w w:val="82"/>
                </w:rPr>
                <w:t>99.</w:t>
              </w:r>
              <w:r>
                <w:rPr>
                  <w:rFonts w:ascii="Times New Roman" w:cs="Times New Roman" w:eastAsia="Times New Roman" w:hAnsi="Times New Roman"/>
                  <w:sz w:val="18"/>
                  <w:szCs w:val="18"/>
                  <w:u w:val="single" w:color="auto"/>
                  <w:color w:val="0000EE"/>
                  <w:w w:val="82"/>
                </w:rPr>
                <w:t>2</w:t>
              </w:r>
            </w:hyperlink>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54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r:id="rId22">
              <w:r>
                <w:rPr>
                  <w:rFonts w:ascii="Times New Roman" w:cs="Times New Roman" w:eastAsia="Times New Roman" w:hAnsi="Times New Roman"/>
                  <w:sz w:val="18"/>
                  <w:szCs w:val="18"/>
                  <w:color w:val="0000EE"/>
                  <w:w w:val="99"/>
                </w:rPr>
                <w:t>Amendment No. 1 to 2019 Inducement Stock Incentive Plan (incorporated by reference to Exhibit 10.1 of the Registrant’s Quarterly</w:t>
              </w:r>
            </w:hyperlink>
          </w:p>
        </w:tc>
        <w:tc>
          <w:tcPr>
            <w:tcW w:w="120" w:type="dxa"/>
            <w:vAlign w:val="bottom"/>
            <w:gridSpan w:val="3"/>
          </w:tcPr>
          <w:p>
            <w:pPr>
              <w:spacing w:after="0"/>
              <w:rPr>
                <w:sz w:val="24"/>
                <w:szCs w:val="24"/>
                <w:color w:val="auto"/>
              </w:rPr>
            </w:pPr>
          </w:p>
        </w:tc>
      </w:tr>
      <w:tr>
        <w:trPr>
          <w:trHeight w:val="196"/>
        </w:trPr>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22">
              <w:r>
                <w:rPr>
                  <w:rFonts w:ascii="Times New Roman" w:cs="Times New Roman" w:eastAsia="Times New Roman" w:hAnsi="Times New Roman"/>
                  <w:sz w:val="18"/>
                  <w:szCs w:val="18"/>
                  <w:color w:val="0000EE"/>
                  <w:w w:val="99"/>
                </w:rPr>
                <w:t>Report on Form 10-Q, filed with the Commission on May 7, 2020 (File No. 001-36080))</w:t>
              </w:r>
            </w:hyperlink>
          </w:p>
        </w:tc>
        <w:tc>
          <w:tcPr>
            <w:tcW w:w="3260" w:type="dxa"/>
            <w:vAlign w:val="bottom"/>
            <w:gridSpan w:val="9"/>
          </w:tcPr>
          <w:p>
            <w:pPr>
              <w:spacing w:after="0"/>
              <w:rPr>
                <w:sz w:val="17"/>
                <w:szCs w:val="17"/>
                <w:color w:val="auto"/>
              </w:rPr>
            </w:pPr>
          </w:p>
        </w:tc>
      </w:tr>
      <w:tr>
        <w:trPr>
          <w:trHeight w:val="372"/>
        </w:trPr>
        <w:tc>
          <w:tcPr>
            <w:tcW w:w="580" w:type="dxa"/>
            <w:vAlign w:val="bottom"/>
          </w:tcPr>
          <w:p>
            <w:pPr>
              <w:spacing w:after="0"/>
              <w:rPr>
                <w:sz w:val="24"/>
                <w:szCs w:val="24"/>
                <w:color w:val="auto"/>
              </w:rPr>
            </w:pPr>
          </w:p>
        </w:tc>
        <w:tc>
          <w:tcPr>
            <w:tcW w:w="260" w:type="dxa"/>
            <w:vAlign w:val="bottom"/>
            <w:gridSpan w:val="2"/>
          </w:tcPr>
          <w:p>
            <w:pPr>
              <w:jc w:val="center"/>
              <w:spacing w:after="0"/>
              <w:rPr>
                <w:rFonts w:ascii="Times New Roman" w:cs="Times New Roman" w:eastAsia="Times New Roman" w:hAnsi="Times New Roman"/>
                <w:sz w:val="18"/>
                <w:szCs w:val="18"/>
                <w:color w:val="0000EE"/>
                <w:w w:val="82"/>
              </w:rPr>
            </w:pPr>
            <w:hyperlink r:id="rId23">
              <w:r>
                <w:rPr>
                  <w:rFonts w:ascii="Times New Roman" w:cs="Times New Roman" w:eastAsia="Times New Roman" w:hAnsi="Times New Roman"/>
                  <w:sz w:val="18"/>
                  <w:szCs w:val="18"/>
                  <w:color w:val="0000EE"/>
                  <w:w w:val="82"/>
                </w:rPr>
                <w:t>99.</w:t>
              </w:r>
              <w:r>
                <w:rPr>
                  <w:rFonts w:ascii="Times New Roman" w:cs="Times New Roman" w:eastAsia="Times New Roman" w:hAnsi="Times New Roman"/>
                  <w:sz w:val="18"/>
                  <w:szCs w:val="18"/>
                  <w:u w:val="single" w:color="auto"/>
                  <w:color w:val="0000EE"/>
                  <w:w w:val="82"/>
                </w:rPr>
                <w:t>3</w:t>
              </w:r>
            </w:hyperlink>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60" w:type="dxa"/>
            <w:vAlign w:val="bottom"/>
            <w:gridSpan w:val="16"/>
          </w:tcPr>
          <w:p>
            <w:pPr>
              <w:spacing w:after="0"/>
              <w:rPr>
                <w:rFonts w:ascii="Times New Roman" w:cs="Times New Roman" w:eastAsia="Times New Roman" w:hAnsi="Times New Roman"/>
                <w:sz w:val="18"/>
                <w:szCs w:val="18"/>
                <w:color w:val="0000EE"/>
              </w:rPr>
            </w:pPr>
            <w:hyperlink r:id="rId23">
              <w:r>
                <w:rPr>
                  <w:rFonts w:ascii="Times New Roman" w:cs="Times New Roman" w:eastAsia="Times New Roman" w:hAnsi="Times New Roman"/>
                  <w:sz w:val="18"/>
                  <w:szCs w:val="18"/>
                  <w:color w:val="0000EE"/>
                </w:rPr>
                <w:t>Amendment No. 2 to 2019 Inducement Stock Incentive Plan (incorporated by reference to Exhibit 10.12 of the Registrant’s Annual</w:t>
              </w:r>
            </w:hyperlink>
          </w:p>
        </w:tc>
      </w:tr>
      <w:tr>
        <w:trPr>
          <w:trHeight w:val="196"/>
        </w:trPr>
        <w:tc>
          <w:tcPr>
            <w:tcW w:w="58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54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23">
              <w:r>
                <w:rPr>
                  <w:rFonts w:ascii="Times New Roman" w:cs="Times New Roman" w:eastAsia="Times New Roman" w:hAnsi="Times New Roman"/>
                  <w:sz w:val="18"/>
                  <w:szCs w:val="18"/>
                  <w:color w:val="0000EE"/>
                  <w:w w:val="99"/>
                </w:rPr>
                <w:t>Report on Form 10-K, filed with the Commission on March 4, 2021 (File No. 001-36080))</w:t>
              </w:r>
            </w:hyperlink>
          </w:p>
        </w:tc>
        <w:tc>
          <w:tcPr>
            <w:tcW w:w="2920" w:type="dxa"/>
            <w:vAlign w:val="bottom"/>
            <w:tcBorders>
              <w:top w:val="single" w:sz="8" w:color="0000EE"/>
            </w:tcBorders>
            <w:gridSpan w:val="4"/>
          </w:tcPr>
          <w:p>
            <w:pPr>
              <w:spacing w:after="0"/>
              <w:rPr>
                <w:sz w:val="17"/>
                <w:szCs w:val="17"/>
                <w:color w:val="auto"/>
              </w:rPr>
            </w:pPr>
          </w:p>
        </w:tc>
        <w:tc>
          <w:tcPr>
            <w:tcW w:w="200" w:type="dxa"/>
            <w:vAlign w:val="bottom"/>
            <w:gridSpan w:val="4"/>
          </w:tcPr>
          <w:p>
            <w:pPr>
              <w:spacing w:after="0"/>
              <w:rPr>
                <w:sz w:val="17"/>
                <w:szCs w:val="17"/>
                <w:color w:val="auto"/>
              </w:rPr>
            </w:pPr>
          </w:p>
        </w:tc>
      </w:tr>
      <w:tr>
        <w:trPr>
          <w:trHeight w:val="372"/>
        </w:trPr>
        <w:tc>
          <w:tcPr>
            <w:tcW w:w="580" w:type="dxa"/>
            <w:vAlign w:val="bottom"/>
          </w:tcPr>
          <w:p>
            <w:pPr>
              <w:spacing w:after="0"/>
              <w:rPr>
                <w:sz w:val="24"/>
                <w:szCs w:val="24"/>
                <w:color w:val="auto"/>
              </w:rPr>
            </w:pPr>
          </w:p>
        </w:tc>
        <w:tc>
          <w:tcPr>
            <w:tcW w:w="260" w:type="dxa"/>
            <w:vAlign w:val="bottom"/>
            <w:tcBorders>
              <w:bottom w:val="single" w:sz="8" w:color="0000EE"/>
            </w:tcBorders>
            <w:gridSpan w:val="2"/>
          </w:tcPr>
          <w:p>
            <w:pPr>
              <w:jc w:val="center"/>
              <w:spacing w:after="0"/>
              <w:rPr>
                <w:rFonts w:ascii="Times New Roman" w:cs="Times New Roman" w:eastAsia="Times New Roman" w:hAnsi="Times New Roman"/>
                <w:sz w:val="18"/>
                <w:szCs w:val="18"/>
                <w:color w:val="0000EE"/>
                <w:w w:val="82"/>
              </w:rPr>
            </w:pPr>
            <w:hyperlink r:id="rId24">
              <w:r>
                <w:rPr>
                  <w:rFonts w:ascii="Times New Roman" w:cs="Times New Roman" w:eastAsia="Times New Roman" w:hAnsi="Times New Roman"/>
                  <w:sz w:val="18"/>
                  <w:szCs w:val="18"/>
                  <w:color w:val="0000EE"/>
                  <w:w w:val="82"/>
                </w:rPr>
                <w:t>99.</w:t>
              </w:r>
              <w:r>
                <w:rPr>
                  <w:rFonts w:ascii="Times New Roman" w:cs="Times New Roman" w:eastAsia="Times New Roman" w:hAnsi="Times New Roman"/>
                  <w:sz w:val="18"/>
                  <w:szCs w:val="18"/>
                  <w:u w:val="single" w:color="auto"/>
                  <w:color w:val="0000EE"/>
                  <w:w w:val="82"/>
                </w:rPr>
                <w:t>4</w:t>
              </w:r>
            </w:hyperlink>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54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r:id="rId24">
              <w:r>
                <w:rPr>
                  <w:rFonts w:ascii="Times New Roman" w:cs="Times New Roman" w:eastAsia="Times New Roman" w:hAnsi="Times New Roman"/>
                  <w:sz w:val="18"/>
                  <w:szCs w:val="18"/>
                  <w:color w:val="0000EE"/>
                  <w:w w:val="99"/>
                </w:rPr>
                <w:t>Amendment No. 3 to 2019 Inducement Stock Incentive Plan (incorporated by reference to Exhibit 10.3 of the Registrant’s Quarterly</w:t>
              </w:r>
            </w:hyperlink>
          </w:p>
        </w:tc>
        <w:tc>
          <w:tcPr>
            <w:tcW w:w="120" w:type="dxa"/>
            <w:vAlign w:val="bottom"/>
            <w:gridSpan w:val="3"/>
          </w:tcPr>
          <w:p>
            <w:pPr>
              <w:spacing w:after="0"/>
              <w:rPr>
                <w:sz w:val="24"/>
                <w:szCs w:val="24"/>
                <w:color w:val="auto"/>
              </w:rPr>
            </w:pPr>
          </w:p>
        </w:tc>
      </w:tr>
      <w:tr>
        <w:trPr>
          <w:trHeight w:val="196"/>
        </w:trPr>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60" w:type="dxa"/>
            <w:vAlign w:val="bottom"/>
            <w:gridSpan w:val="16"/>
          </w:tcPr>
          <w:p>
            <w:pPr>
              <w:spacing w:after="0" w:line="196" w:lineRule="exact"/>
              <w:rPr>
                <w:rFonts w:ascii="Times New Roman" w:cs="Times New Roman" w:eastAsia="Times New Roman" w:hAnsi="Times New Roman"/>
                <w:sz w:val="18"/>
                <w:szCs w:val="18"/>
                <w:color w:val="0000EE"/>
              </w:rPr>
            </w:pPr>
            <w:hyperlink r:id="rId24">
              <w:r>
                <w:rPr>
                  <w:rFonts w:ascii="Times New Roman" w:cs="Times New Roman" w:eastAsia="Times New Roman" w:hAnsi="Times New Roman"/>
                  <w:sz w:val="18"/>
                  <w:szCs w:val="18"/>
                  <w:color w:val="0000EE"/>
                </w:rPr>
                <w:t>Report on Form 10-Q, filed with the Commission on November 9, 2021 (File No. 001-36080))</w:t>
              </w:r>
            </w:hyperlink>
          </w:p>
        </w:tc>
      </w:tr>
      <w:tr>
        <w:trPr>
          <w:trHeight w:val="20"/>
        </w:trPr>
        <w:tc>
          <w:tcPr>
            <w:tcW w:w="5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20" w:type="dxa"/>
            <w:vAlign w:val="bottom"/>
            <w:shd w:val="clear" w:color="auto" w:fill="0000EE"/>
          </w:tcPr>
          <w:p>
            <w:pPr>
              <w:spacing w:after="0" w:line="20" w:lineRule="exact"/>
              <w:rPr>
                <w:sz w:val="1"/>
                <w:szCs w:val="1"/>
                <w:color w:val="auto"/>
              </w:rPr>
            </w:pPr>
          </w:p>
        </w:tc>
        <w:tc>
          <w:tcPr>
            <w:tcW w:w="2300" w:type="dxa"/>
            <w:vAlign w:val="bottom"/>
            <w:shd w:val="clear" w:color="auto" w:fill="0000EE"/>
          </w:tcPr>
          <w:p>
            <w:pPr>
              <w:spacing w:after="0" w:line="20" w:lineRule="exact"/>
              <w:rPr>
                <w:sz w:val="1"/>
                <w:szCs w:val="1"/>
                <w:color w:val="auto"/>
              </w:rPr>
            </w:pPr>
          </w:p>
        </w:tc>
        <w:tc>
          <w:tcPr>
            <w:tcW w:w="2200" w:type="dxa"/>
            <w:vAlign w:val="bottom"/>
            <w:tcBorders>
              <w:right w:val="single" w:sz="8" w:color="0000EE"/>
            </w:tcBorders>
            <w:gridSpan w:val="7"/>
            <w:shd w:val="clear" w:color="auto" w:fill="0000EE"/>
          </w:tcPr>
          <w:p>
            <w:pPr>
              <w:spacing w:after="0" w:line="20" w:lineRule="exact"/>
              <w:rPr>
                <w:sz w:val="1"/>
                <w:szCs w:val="1"/>
                <w:color w:val="auto"/>
              </w:rPr>
            </w:pPr>
          </w:p>
        </w:tc>
        <w:tc>
          <w:tcPr>
            <w:tcW w:w="2840" w:type="dxa"/>
            <w:vAlign w:val="bottom"/>
            <w:gridSpan w:val="7"/>
          </w:tcPr>
          <w:p>
            <w:pPr>
              <w:spacing w:after="0" w:line="20" w:lineRule="exact"/>
              <w:rPr>
                <w:sz w:val="1"/>
                <w:szCs w:val="1"/>
                <w:color w:val="auto"/>
              </w:rPr>
            </w:pPr>
          </w:p>
        </w:tc>
      </w:tr>
      <w:tr>
        <w:trPr>
          <w:trHeight w:val="372"/>
        </w:trPr>
        <w:tc>
          <w:tcPr>
            <w:tcW w:w="580" w:type="dxa"/>
            <w:vAlign w:val="bottom"/>
          </w:tcPr>
          <w:p>
            <w:pPr>
              <w:spacing w:after="0"/>
              <w:rPr>
                <w:sz w:val="24"/>
                <w:szCs w:val="24"/>
                <w:color w:val="auto"/>
              </w:rPr>
            </w:pPr>
          </w:p>
        </w:tc>
        <w:tc>
          <w:tcPr>
            <w:tcW w:w="260" w:type="dxa"/>
            <w:vAlign w:val="bottom"/>
            <w:gridSpan w:val="2"/>
          </w:tcPr>
          <w:p>
            <w:pPr>
              <w:jc w:val="center"/>
              <w:spacing w:after="0"/>
              <w:rPr>
                <w:rFonts w:ascii="Times New Roman" w:cs="Times New Roman" w:eastAsia="Times New Roman" w:hAnsi="Times New Roman"/>
                <w:sz w:val="18"/>
                <w:szCs w:val="18"/>
                <w:color w:val="0000EE"/>
                <w:w w:val="82"/>
              </w:rPr>
            </w:pPr>
            <w:hyperlink r:id="rId25">
              <w:r>
                <w:rPr>
                  <w:rFonts w:ascii="Times New Roman" w:cs="Times New Roman" w:eastAsia="Times New Roman" w:hAnsi="Times New Roman"/>
                  <w:sz w:val="18"/>
                  <w:szCs w:val="18"/>
                  <w:color w:val="0000EE"/>
                  <w:w w:val="82"/>
                </w:rPr>
                <w:t>99.</w:t>
              </w:r>
              <w:r>
                <w:rPr>
                  <w:rFonts w:ascii="Times New Roman" w:cs="Times New Roman" w:eastAsia="Times New Roman" w:hAnsi="Times New Roman"/>
                  <w:sz w:val="18"/>
                  <w:szCs w:val="18"/>
                  <w:u w:val="single" w:color="auto"/>
                  <w:color w:val="0000EE"/>
                  <w:w w:val="82"/>
                </w:rPr>
                <w:t>5</w:t>
              </w:r>
            </w:hyperlink>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60" w:type="dxa"/>
            <w:vAlign w:val="bottom"/>
            <w:gridSpan w:val="16"/>
          </w:tcPr>
          <w:p>
            <w:pPr>
              <w:spacing w:after="0"/>
              <w:rPr>
                <w:rFonts w:ascii="Times New Roman" w:cs="Times New Roman" w:eastAsia="Times New Roman" w:hAnsi="Times New Roman"/>
                <w:sz w:val="18"/>
                <w:szCs w:val="18"/>
                <w:color w:val="0000EE"/>
              </w:rPr>
            </w:pPr>
            <w:hyperlink r:id="rId25">
              <w:r>
                <w:rPr>
                  <w:rFonts w:ascii="Times New Roman" w:cs="Times New Roman" w:eastAsia="Times New Roman" w:hAnsi="Times New Roman"/>
                  <w:sz w:val="18"/>
                  <w:szCs w:val="18"/>
                  <w:color w:val="0000EE"/>
                </w:rPr>
                <w:t>Amendment No. 4 to 2019 Inducement Stock Incentive Plan (incorporated by reference to Exhibit 10.14 of the Registrant’s Annual</w:t>
              </w:r>
            </w:hyperlink>
          </w:p>
        </w:tc>
      </w:tr>
      <w:tr>
        <w:trPr>
          <w:trHeight w:val="196"/>
        </w:trPr>
        <w:tc>
          <w:tcPr>
            <w:tcW w:w="58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60" w:type="dxa"/>
            <w:vAlign w:val="bottom"/>
            <w:tcBorders>
              <w:top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25">
              <w:r>
                <w:rPr>
                  <w:rFonts w:ascii="Times New Roman" w:cs="Times New Roman" w:eastAsia="Times New Roman" w:hAnsi="Times New Roman"/>
                  <w:sz w:val="18"/>
                  <w:szCs w:val="18"/>
                  <w:color w:val="0000EE"/>
                </w:rPr>
                <w:t>Report on Form 10-K, filed with the Commission on February 24, 2022 (File No. 001-36080))</w:t>
              </w:r>
            </w:hyperlink>
          </w:p>
        </w:tc>
        <w:tc>
          <w:tcPr>
            <w:tcW w:w="200" w:type="dxa"/>
            <w:vAlign w:val="bottom"/>
            <w:gridSpan w:val="4"/>
          </w:tcPr>
          <w:p>
            <w:pPr>
              <w:spacing w:after="0"/>
              <w:rPr>
                <w:sz w:val="17"/>
                <w:szCs w:val="17"/>
                <w:color w:val="auto"/>
              </w:rPr>
            </w:pPr>
          </w:p>
        </w:tc>
      </w:tr>
      <w:tr>
        <w:trPr>
          <w:trHeight w:val="372"/>
        </w:trPr>
        <w:tc>
          <w:tcPr>
            <w:tcW w:w="840" w:type="dxa"/>
            <w:vAlign w:val="bottom"/>
            <w:gridSpan w:val="3"/>
          </w:tcPr>
          <w:p>
            <w:pPr>
              <w:jc w:val="center"/>
              <w:ind w:left="350"/>
              <w:spacing w:after="0"/>
              <w:rPr>
                <w:sz w:val="20"/>
                <w:szCs w:val="20"/>
                <w:color w:val="auto"/>
              </w:rPr>
            </w:pPr>
            <w:r>
              <w:rPr>
                <w:rFonts w:ascii="Times New Roman" w:cs="Times New Roman" w:eastAsia="Times New Roman" w:hAnsi="Times New Roman"/>
                <w:sz w:val="18"/>
                <w:szCs w:val="18"/>
                <w:color w:val="0000EE"/>
                <w:w w:val="98"/>
              </w:rPr>
              <w:t>99.</w:t>
            </w:r>
            <w:r>
              <w:rPr>
                <w:rFonts w:ascii="Times New Roman" w:cs="Times New Roman" w:eastAsia="Times New Roman" w:hAnsi="Times New Roman"/>
                <w:sz w:val="18"/>
                <w:szCs w:val="18"/>
                <w:u w:val="single" w:color="auto"/>
                <w:color w:val="0000EE"/>
                <w:w w:val="98"/>
              </w:rPr>
              <w:t>6*</w:t>
            </w: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20" w:type="dxa"/>
            <w:vAlign w:val="bottom"/>
            <w:tcBorders>
              <w:top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rPr>
              <w:t>Amendment No. 5 to the 2019 Inducement Stock Incentive Plan</w:t>
            </w:r>
          </w:p>
        </w:tc>
        <w:tc>
          <w:tcPr>
            <w:tcW w:w="2840" w:type="dxa"/>
            <w:vAlign w:val="bottom"/>
            <w:gridSpan w:val="7"/>
          </w:tcPr>
          <w:p>
            <w:pPr>
              <w:spacing w:after="0"/>
              <w:rPr>
                <w:sz w:val="24"/>
                <w:szCs w:val="24"/>
                <w:color w:val="auto"/>
              </w:rPr>
            </w:pPr>
          </w:p>
        </w:tc>
      </w:tr>
      <w:tr>
        <w:trPr>
          <w:trHeight w:val="371"/>
        </w:trPr>
        <w:tc>
          <w:tcPr>
            <w:tcW w:w="580" w:type="dxa"/>
            <w:vAlign w:val="bottom"/>
          </w:tcPr>
          <w:p>
            <w:pPr>
              <w:spacing w:after="0"/>
              <w:rPr>
                <w:sz w:val="24"/>
                <w:szCs w:val="24"/>
                <w:color w:val="auto"/>
              </w:rPr>
            </w:pPr>
          </w:p>
        </w:tc>
        <w:tc>
          <w:tcPr>
            <w:tcW w:w="260" w:type="dxa"/>
            <w:vAlign w:val="bottom"/>
            <w:tcBorders>
              <w:top w:val="single" w:sz="8" w:color="0000EE"/>
            </w:tcBorders>
            <w:gridSpan w:val="2"/>
          </w:tcPr>
          <w:p>
            <w:pPr>
              <w:jc w:val="center"/>
              <w:spacing w:after="0"/>
              <w:rPr>
                <w:sz w:val="20"/>
                <w:szCs w:val="20"/>
                <w:color w:val="auto"/>
              </w:rPr>
            </w:pPr>
            <w:r>
              <w:rPr>
                <w:rFonts w:ascii="Times New Roman" w:cs="Times New Roman" w:eastAsia="Times New Roman" w:hAnsi="Times New Roman"/>
                <w:sz w:val="18"/>
                <w:szCs w:val="18"/>
                <w:color w:val="0000EE"/>
                <w:w w:val="77"/>
              </w:rPr>
              <w:t>107*</w:t>
            </w: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2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rPr>
              <w:t>Calculation of Filing Fee Tables</w:t>
            </w:r>
          </w:p>
        </w:tc>
        <w:tc>
          <w:tcPr>
            <w:tcW w:w="5040" w:type="dxa"/>
            <w:vAlign w:val="bottom"/>
            <w:gridSpan w:val="14"/>
          </w:tcPr>
          <w:p>
            <w:pPr>
              <w:spacing w:after="0"/>
              <w:rPr>
                <w:sz w:val="24"/>
                <w:szCs w:val="24"/>
                <w:color w:val="auto"/>
              </w:rPr>
            </w:pPr>
          </w:p>
        </w:tc>
      </w:tr>
      <w:tr>
        <w:trPr>
          <w:trHeight w:val="20"/>
        </w:trPr>
        <w:tc>
          <w:tcPr>
            <w:tcW w:w="58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20" w:type="dxa"/>
            <w:vAlign w:val="bottom"/>
            <w:shd w:val="clear" w:color="auto" w:fill="0000EE"/>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7830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6">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60" w:firstLine="648"/>
        <w:spacing w:after="0" w:line="27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Parsippany, New Jersey, on this 26</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of July, 2022.</w:t>
      </w:r>
    </w:p>
    <w:p>
      <w:pPr>
        <w:spacing w:after="0" w:line="4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IVERIC bio, Inc.</w:t>
      </w:r>
    </w:p>
    <w:p>
      <w:pPr>
        <w:spacing w:after="0" w:line="225" w:lineRule="exact"/>
        <w:rPr>
          <w:sz w:val="20"/>
          <w:szCs w:val="20"/>
          <w:color w:val="auto"/>
        </w:rPr>
      </w:pPr>
    </w:p>
    <w:p>
      <w:pPr>
        <w:ind w:left="5640"/>
        <w:spacing w:after="0"/>
        <w:tabs>
          <w:tab w:leader="none" w:pos="6060" w:val="left"/>
        </w:tabs>
        <w:rPr>
          <w:sz w:val="20"/>
          <w:szCs w:val="20"/>
          <w:color w:val="auto"/>
        </w:rPr>
      </w:pPr>
      <w:r>
        <w:rPr>
          <w:rFonts w:ascii="Times New Roman" w:cs="Times New Roman" w:eastAsia="Times New Roman" w:hAnsi="Times New Roman"/>
          <w:sz w:val="18"/>
          <w:szCs w:val="18"/>
          <w:color w:val="auto"/>
        </w:rPr>
        <w:t>By:</w:t>
        <w:tab/>
        <w:t>/s/ Glenn P. Sblendorio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8">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Glenn P. Sblendorio</w:t>
      </w:r>
    </w:p>
    <w:p>
      <w:pPr>
        <w:spacing w:after="0" w:line="2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POWER OF ATTORNEY AND SIGNATURES</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We, the undersigned officers and directors of IVERIC bio, Inc., hereby severally constitute and appoint Glenn P. Sblendorio, David F. Carroll and Todd D.C. Anderman, and each of them singly, our true and lawful attorneys with full power to them, and each of them singly, to sign for us and in our names in the capacities indicated below, the Registration Statement on Form S-8 filed herewith and any and all subsequent amendments to said Registration Statement, and generally to do all such things in our names and on our behalf in our capacities as officers and directors to enable IVERIC bio, Inc. to comply with the provisions of the Securities Act of 1933, as amended, and all requirements of the Securities and Exchange Commission, hereby ratifying and confirming our signatures as they may be signed by our said attorneys, or any of them, to said Registration Statement and any and all amendments thereto.</w:t>
      </w:r>
    </w:p>
    <w:p>
      <w:pPr>
        <w:spacing w:after="0" w:line="189"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dates indicated.</w:t>
      </w:r>
    </w:p>
    <w:p>
      <w:pPr>
        <w:sectPr>
          <w:pgSz w:w="11900" w:h="16838" w:orient="portrait"/>
          <w:cols w:equalWidth="0" w:num="1">
            <w:col w:w="11240"/>
          </w:cols>
          <w:pgMar w:left="320" w:top="900" w:right="339" w:bottom="1440" w:gutter="0" w:footer="0" w:header="0"/>
        </w:sectPr>
      </w:pPr>
    </w:p>
    <w:p>
      <w:pPr>
        <w:spacing w:after="0" w:line="158"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23571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9">
                      <a:extLst>
                        <a:ext uri="{28A0092B-C50C-407E-A947-70E740481C1C}"/>
                      </a:extLst>
                    </a:blip>
                    <a:srcRect/>
                    <a:stretch>
                      <a:fillRect/>
                    </a:stretch>
                  </pic:blipFill>
                  <pic:spPr bwMode="auto">
                    <a:xfrm>
                      <a:off x="0" y="0"/>
                      <a:ext cx="2357120" cy="8890"/>
                    </a:xfrm>
                    <a:prstGeom prst="rect">
                      <a:avLst/>
                    </a:prstGeom>
                    <a:noFill/>
                  </pic:spPr>
                </pic:pic>
              </a:graphicData>
            </a:graphic>
          </wp:anchor>
        </w:drawing>
      </w:r>
    </w:p>
    <w:p>
      <w:pPr>
        <w:spacing w:after="0" w:line="223"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/s/ Glenn P. Sblendorio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3571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0">
                      <a:extLst>
                        <a:ext uri="{28A0092B-C50C-407E-A947-70E740481C1C}"/>
                      </a:extLst>
                    </a:blip>
                    <a:srcRect/>
                    <a:stretch>
                      <a:fillRect/>
                    </a:stretch>
                  </pic:blipFill>
                  <pic:spPr bwMode="auto">
                    <a:xfrm>
                      <a:off x="0" y="0"/>
                      <a:ext cx="2357120" cy="8890"/>
                    </a:xfrm>
                    <a:prstGeom prst="rect">
                      <a:avLst/>
                    </a:prstGeom>
                    <a:noFill/>
                  </pic:spPr>
                </pic:pic>
              </a:graphicData>
            </a:graphic>
          </wp:anchor>
        </w:drawing>
      </w:r>
    </w:p>
    <w:p>
      <w:pPr>
        <w:spacing w:after="0" w:line="57"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Glenn P. Sblendorio</w:t>
      </w:r>
    </w:p>
    <w:p>
      <w:pPr>
        <w:spacing w:after="0" w:line="225"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/s/ David F. Carroll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3571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1">
                      <a:extLst>
                        <a:ext uri="{28A0092B-C50C-407E-A947-70E740481C1C}"/>
                      </a:extLst>
                    </a:blip>
                    <a:srcRect/>
                    <a:stretch>
                      <a:fillRect/>
                    </a:stretch>
                  </pic:blipFill>
                  <pic:spPr bwMode="auto">
                    <a:xfrm>
                      <a:off x="0" y="0"/>
                      <a:ext cx="2357120" cy="8890"/>
                    </a:xfrm>
                    <a:prstGeom prst="rect">
                      <a:avLst/>
                    </a:prstGeom>
                    <a:noFill/>
                  </pic:spPr>
                </pic:pic>
              </a:graphicData>
            </a:graphic>
          </wp:anchor>
        </w:drawing>
      </w:r>
    </w:p>
    <w:p>
      <w:pPr>
        <w:spacing w:after="0" w:line="57"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David F. Carroll</w:t>
      </w:r>
    </w:p>
    <w:p>
      <w:pPr>
        <w:spacing w:after="0" w:line="225"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/s/ Adrienne L. Graves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3571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2">
                      <a:extLst>
                        <a:ext uri="{28A0092B-C50C-407E-A947-70E740481C1C}"/>
                      </a:extLst>
                    </a:blip>
                    <a:srcRect/>
                    <a:stretch>
                      <a:fillRect/>
                    </a:stretch>
                  </pic:blipFill>
                  <pic:spPr bwMode="auto">
                    <a:xfrm>
                      <a:off x="0" y="0"/>
                      <a:ext cx="2357120" cy="8890"/>
                    </a:xfrm>
                    <a:prstGeom prst="rect">
                      <a:avLst/>
                    </a:prstGeom>
                    <a:noFill/>
                  </pic:spPr>
                </pic:pic>
              </a:graphicData>
            </a:graphic>
          </wp:anchor>
        </w:drawing>
      </w:r>
    </w:p>
    <w:p>
      <w:pPr>
        <w:spacing w:after="0" w:line="57"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Adrienne L. Graves, Ph.D.</w:t>
      </w:r>
    </w:p>
    <w:p>
      <w:pPr>
        <w:spacing w:after="0" w:line="225"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/s/ Mark S. Blumenkranz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3571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3">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57"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7"/>
          <w:szCs w:val="17"/>
          <w:color w:val="auto"/>
        </w:rPr>
        <w:t>Mark S. Blumenkranz, M.D.</w:t>
      </w:r>
    </w:p>
    <w:p>
      <w:pPr>
        <w:spacing w:after="0" w:line="237"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/s/ Axel Bolte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3571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4">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57"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Axel Bolte</w:t>
      </w:r>
    </w:p>
    <w:p>
      <w:pPr>
        <w:spacing w:after="0" w:line="225"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/s/ Jane P. Henderson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3571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5">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57"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Jane P. Henderson</w:t>
      </w:r>
    </w:p>
    <w:p>
      <w:pPr>
        <w:spacing w:after="0" w:line="225"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/s/ Christine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3571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6">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57"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Christine Miller</w:t>
      </w:r>
    </w:p>
    <w:p>
      <w:pPr>
        <w:spacing w:after="0" w:line="225"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/s/ Calvin W.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3571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7">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57"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Calvin W. Roberts, M.D.</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19685</wp:posOffset>
            </wp:positionV>
            <wp:extent cx="284607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8">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250"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Chief Executive Officer and Director (principal executive officer)</w:t>
      </w:r>
    </w:p>
    <w:p>
      <w:pPr>
        <w:spacing w:after="0" w:line="22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Senior Vice President, Chief Financial Officer and Treasurer (principal financial and accounting officer)</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 of the Board of Directors</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-2432685</wp:posOffset>
            </wp:positionH>
            <wp:positionV relativeFrom="paragraph">
              <wp:posOffset>386080</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-575945</wp:posOffset>
            </wp:positionH>
            <wp:positionV relativeFrom="paragraph">
              <wp:posOffset>19685</wp:posOffset>
            </wp:positionV>
            <wp:extent cx="17830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26, 2022</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26, 2022</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26, 2022</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26, 2022</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26, 2022</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26, 2022</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26, 2022</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26, 2022</w:t>
      </w:r>
    </w:p>
    <w:p>
      <w:pPr>
        <w:sectPr>
          <w:pgSz w:w="11900" w:h="16838" w:orient="portrait"/>
          <w:cols w:equalWidth="0" w:num="3">
            <w:col w:w="3120" w:space="720"/>
            <w:col w:w="4780" w:space="720"/>
            <w:col w:w="1900"/>
          </w:cols>
          <w:pgMar w:left="320" w:top="900" w:right="339" w:bottom="1440" w:gutter="0" w:footer="0" w:header="0"/>
          <w:type w:val="continuous"/>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5.1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+1 212 230 8800 (t)</w:t>
      </w:r>
    </w:p>
    <w:p>
      <w:pPr>
        <w:spacing w:after="0" w:line="27" w:lineRule="exact"/>
        <w:rPr>
          <w:sz w:val="20"/>
          <w:szCs w:val="20"/>
          <w:color w:val="auto"/>
        </w:rPr>
      </w:pPr>
    </w:p>
    <w:p>
      <w:pPr>
        <w:ind w:left="9780"/>
        <w:spacing w:after="0"/>
        <w:rPr>
          <w:sz w:val="20"/>
          <w:szCs w:val="20"/>
          <w:color w:val="auto"/>
        </w:rPr>
      </w:pPr>
      <w:r>
        <w:rPr>
          <w:rFonts w:ascii="Times New Roman" w:cs="Times New Roman" w:eastAsia="Times New Roman" w:hAnsi="Times New Roman"/>
          <w:sz w:val="18"/>
          <w:szCs w:val="18"/>
          <w:color w:val="auto"/>
        </w:rPr>
        <w:t>+1 212 230 8888 (f)</w:t>
      </w:r>
    </w:p>
    <w:p>
      <w:pPr>
        <w:spacing w:after="0" w:line="9" w:lineRule="exact"/>
        <w:rPr>
          <w:sz w:val="20"/>
          <w:szCs w:val="20"/>
          <w:color w:val="auto"/>
        </w:rPr>
      </w:pPr>
    </w:p>
    <w:p>
      <w:pPr>
        <w:ind w:left="10080"/>
        <w:spacing w:after="0"/>
        <w:rPr>
          <w:sz w:val="20"/>
          <w:szCs w:val="20"/>
          <w:color w:val="auto"/>
        </w:rPr>
      </w:pPr>
      <w:r>
        <w:rPr>
          <w:rFonts w:ascii="Times New Roman" w:cs="Times New Roman" w:eastAsia="Times New Roman" w:hAnsi="Times New Roman"/>
          <w:sz w:val="17"/>
          <w:szCs w:val="17"/>
          <w:color w:val="auto"/>
        </w:rPr>
        <w:t>wilmerhale.com</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26, 2022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IVERIC bio,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 Sylvan Way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Parsippany, New Jersey 07054</w:t>
      </w:r>
    </w:p>
    <w:p>
      <w:pPr>
        <w:sectPr>
          <w:pgSz w:w="11900" w:h="16838" w:orient="portrait"/>
          <w:cols w:equalWidth="0" w:num="1">
            <w:col w:w="11240"/>
          </w:cols>
          <w:pgMar w:left="320" w:top="108" w:right="339" w:bottom="1440" w:gutter="0" w:footer="0" w:header="0"/>
        </w:sectPr>
      </w:pP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Re: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IVERIC bio,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Registration Statement on Form S-8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2019 Inducement Stock Incentive Plan</w:t>
      </w:r>
    </w:p>
    <w:p>
      <w:pPr>
        <w:spacing w:after="0" w:line="200" w:lineRule="exact"/>
        <w:rPr>
          <w:sz w:val="20"/>
          <w:szCs w:val="20"/>
          <w:color w:val="auto"/>
        </w:rPr>
      </w:pPr>
    </w:p>
    <w:p>
      <w:pPr>
        <w:sectPr>
          <w:pgSz w:w="11900" w:h="16838" w:orient="portrait"/>
          <w:cols w:equalWidth="0" w:num="2">
            <w:col w:w="900" w:space="400"/>
            <w:col w:w="9940"/>
          </w:cols>
          <w:pgMar w:left="320" w:top="108" w:right="33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right="380" w:firstLine="648"/>
        <w:spacing w:after="0" w:line="258" w:lineRule="auto"/>
        <w:rPr>
          <w:sz w:val="20"/>
          <w:szCs w:val="20"/>
          <w:color w:val="auto"/>
        </w:rPr>
      </w:pPr>
      <w:r>
        <w:rPr>
          <w:rFonts w:ascii="Times New Roman" w:cs="Times New Roman" w:eastAsia="Times New Roman" w:hAnsi="Times New Roman"/>
          <w:sz w:val="18"/>
          <w:szCs w:val="18"/>
          <w:color w:val="auto"/>
        </w:rPr>
        <w:t>We have assisted in the preparation of a Registration Statement on Form S-8 (the “Registration Statement”) to be filed with the Securities and Exchange Commission (the “Commission”) under the Securities Act of 1933, as amended (the “Securities Act”), relating to an aggregate of 1,000,000 shares of common stock, $0.001 par value per share (the “Shares”), of IVERIC bio, Inc., a Delaware corporation (the “Company”), issuable under the Company’s 2019 Inducement Stock Incentive Plan, as amended by Amendment No. 1, Amendment No. 2, Amendment No. 3, Amendment No. 4 and Amendment No. 5 to the 2019 Inducement Stock Incentive Plan (the “Plan”).</w:t>
      </w:r>
    </w:p>
    <w:p>
      <w:pPr>
        <w:spacing w:after="0" w:line="183" w:lineRule="exact"/>
        <w:rPr>
          <w:sz w:val="20"/>
          <w:szCs w:val="20"/>
          <w:color w:val="auto"/>
        </w:rPr>
      </w:pPr>
    </w:p>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We have examined the Certificate of Incorporation and Bylaws of the Company, each as amended and/or restated to date, and originals, or copies certified to our satisfaction, of all pertinent records of the meetings of the directors and stockholders of the Company, the Registration Statement and such other documents relating to the Company as we have deemed material for the purposes of this opinion.</w:t>
      </w:r>
    </w:p>
    <w:p>
      <w:pPr>
        <w:spacing w:after="0" w:line="176"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In our examination of the foregoing documents, we have assumed the genuineness of all signatures, the authenticity of all documents submitted to us as originals, the conformity to original documents of all documents submitted to us as certified, photostatic or other copies, the authenticity of the originals of any such documents and the legal competence of all signatories to such documents.</w:t>
      </w:r>
    </w:p>
    <w:p>
      <w:pPr>
        <w:spacing w:after="0" w:line="17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assume that the appropriate action will be taken, prior to the offer and sale of the Shares in accordance with the Plan, to register and qualify the Shares for sale under all applicable state securities or “blue sky” laws.</w:t>
      </w:r>
    </w:p>
    <w:p>
      <w:pPr>
        <w:spacing w:after="0" w:line="162"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We express no opinion herein as to the laws of any state or jurisdiction other than the General Corporation Law of the State of Delaware and the federal laws of the United States of America.</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It is understood that this opinion is to be used only in connection with the offer and sale of the Shares while the Registration Statement is in effect.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Please note that we are opining only as to the matters expressly set forth herein, and no opinion should be inferred as to any 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651510</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948055</wp:posOffset>
            </wp:positionH>
            <wp:positionV relativeFrom="paragraph">
              <wp:posOffset>154305</wp:posOffset>
            </wp:positionV>
            <wp:extent cx="5254625" cy="2228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2">
                      <a:extLst>
                        <a:ext uri="{28A0092B-C50C-407E-A947-70E740481C1C}"/>
                      </a:extLst>
                    </a:blip>
                    <a:srcRect/>
                    <a:stretch>
                      <a:fillRect/>
                    </a:stretch>
                  </pic:blipFill>
                  <pic:spPr bwMode="auto">
                    <a:xfrm>
                      <a:off x="0" y="0"/>
                      <a:ext cx="5254625" cy="22288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5" w:name="page6"/>
    <w:bookmarkEnd w:id="5"/>
    <w:p>
      <w:pPr>
        <w:ind w:firstLine="648"/>
        <w:spacing w:after="0" w:line="282" w:lineRule="auto"/>
        <w:rPr>
          <w:sz w:val="20"/>
          <w:szCs w:val="20"/>
          <w:color w:val="auto"/>
        </w:rPr>
      </w:pPr>
      <w:r>
        <w:rPr>
          <w:rFonts w:ascii="Times New Roman" w:cs="Times New Roman" w:eastAsia="Times New Roman" w:hAnsi="Times New Roman"/>
          <w:sz w:val="18"/>
          <w:szCs w:val="18"/>
          <w:color w:val="auto"/>
        </w:rPr>
        <w:t>Based on the foregoing, we are of the opinion that the Shares have been duly authorized for issuance and, when the Shares are issued and paid for in accordance with the terms and conditions of the Plan, the Shares will be validly issued, fully paid and nonassessable.</w:t>
      </w:r>
    </w:p>
    <w:p>
      <w:pPr>
        <w:spacing w:after="0" w:line="162"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We hereby consent to the filing of this opinion with the Commission in connection with the Registration Statement in accordance with the requirements of Item 601(b)(5) of Regulation S-K under the Securities Act. In giving such consent, we do not hereby admit that we are in the category of persons whose consent is required under Section 7 of the Securities Act or the rules and regulations of the Commission.</w:t>
      </w:r>
    </w:p>
    <w:p>
      <w:pPr>
        <w:spacing w:after="0" w:line="17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79" w:lineRule="exact"/>
        <w:rPr>
          <w:sz w:val="20"/>
          <w:szCs w:val="20"/>
          <w:color w:val="auto"/>
        </w:rPr>
      </w:pPr>
    </w:p>
    <w:p>
      <w:pPr>
        <w:ind w:left="5640"/>
        <w:spacing w:after="0"/>
        <w:tabs>
          <w:tab w:leader="none" w:pos="6060" w:val="left"/>
        </w:tabs>
        <w:rPr>
          <w:sz w:val="20"/>
          <w:szCs w:val="20"/>
          <w:color w:val="auto"/>
        </w:rPr>
      </w:pPr>
      <w:r>
        <w:rPr>
          <w:rFonts w:ascii="Times New Roman" w:cs="Times New Roman" w:eastAsia="Times New Roman" w:hAnsi="Times New Roman"/>
          <w:sz w:val="18"/>
          <w:szCs w:val="18"/>
          <w:color w:val="auto"/>
        </w:rPr>
        <w:t>By:</w:t>
        <w:tab/>
        <w:t>/s/ Wilmer Cutler Pickering Hale and Dorr LLP</w:t>
      </w:r>
    </w:p>
    <w:p>
      <w:pPr>
        <w:spacing w:after="0" w:line="50"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WILMER CUTLER PICKERING HALE AND DORR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-127635</wp:posOffset>
            </wp:positionV>
            <wp:extent cx="327469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3">
                      <a:extLst>
                        <a:ext uri="{28A0092B-C50C-407E-A947-70E740481C1C}"/>
                      </a:extLst>
                    </a:blip>
                    <a:srcRect/>
                    <a:stretch>
                      <a:fillRect/>
                    </a:stretch>
                  </pic:blipFill>
                  <pic:spPr bwMode="auto">
                    <a:xfrm>
                      <a:off x="0" y="0"/>
                      <a:ext cx="327469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308610</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904" w:right="4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 (Form S-8) pertaining to the 2019 Inducement Stock Incentive Plan of IVERIC bio, Inc., of our reports dated February 24, 2022, with respect to the consolidated financial statements of IVERIC bio, Inc. and the effectiveness of internal control over financial reporting of IVERIC bio, Inc. included in its Annual Report (Form 10-K) for the year ended December 31, 2021, filed with the Securities and Exchange Commission.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Iselin, New Jersey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26,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22"/>
          <w:szCs w:val="22"/>
          <w:b w:val="1"/>
          <w:bCs w:val="1"/>
          <w:color w:val="auto"/>
        </w:rPr>
        <w:t>Exhibit 99.6</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5 to 2019 Inducement Stock Incentive Plan</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AMENDMENT NO. 5 TO</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2019 INDUCEMENT STOCK INCENTIVE PLAN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IVERIC BIO, INC.</w:t>
      </w:r>
    </w:p>
    <w:p>
      <w:pPr>
        <w:spacing w:after="0" w:line="225" w:lineRule="exact"/>
        <w:rPr>
          <w:sz w:val="20"/>
          <w:szCs w:val="20"/>
          <w:color w:val="auto"/>
        </w:rPr>
      </w:pPr>
    </w:p>
    <w:p>
      <w:pPr>
        <w:ind w:right="280" w:firstLine="441"/>
        <w:spacing w:after="0" w:line="282" w:lineRule="auto"/>
        <w:rPr>
          <w:sz w:val="20"/>
          <w:szCs w:val="20"/>
          <w:color w:val="auto"/>
        </w:rPr>
      </w:pPr>
      <w:r>
        <w:rPr>
          <w:rFonts w:ascii="Times New Roman" w:cs="Times New Roman" w:eastAsia="Times New Roman" w:hAnsi="Times New Roman"/>
          <w:sz w:val="18"/>
          <w:szCs w:val="18"/>
          <w:color w:val="auto"/>
        </w:rPr>
        <w:t>The 2019 Inducement Stock Incentive Plan (the “Plan”) of IVERIC bio, Inc. (the “Company”) is hereby amended as follows (all capitalized terms used and not defined herein shall have the respective meanings ascribed to such terms in the Plan):</w:t>
      </w:r>
    </w:p>
    <w:p>
      <w:pPr>
        <w:spacing w:after="0" w:line="162" w:lineRule="exact"/>
        <w:rPr>
          <w:sz w:val="20"/>
          <w:szCs w:val="20"/>
          <w:color w:val="auto"/>
        </w:rPr>
      </w:pPr>
    </w:p>
    <w:p>
      <w:pPr>
        <w:ind w:left="460" w:hanging="452"/>
        <w:spacing w:after="0"/>
        <w:tabs>
          <w:tab w:leader="none" w:pos="4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4(a)(1) of the Plan be and hereby is deleted in its entirety and the following is inserted in lieu thereof:</w:t>
      </w:r>
    </w:p>
    <w:p>
      <w:pPr>
        <w:spacing w:after="0" w:line="225" w:lineRule="exact"/>
        <w:rPr>
          <w:rFonts w:ascii="Times New Roman" w:cs="Times New Roman" w:eastAsia="Times New Roman" w:hAnsi="Times New Roman"/>
          <w:sz w:val="18"/>
          <w:szCs w:val="18"/>
          <w:color w:val="auto"/>
        </w:rPr>
      </w:pPr>
    </w:p>
    <w:p>
      <w:pPr>
        <w:ind w:left="1300" w:firstLine="328"/>
        <w:spacing w:after="0" w:line="266" w:lineRule="auto"/>
        <w:tabs>
          <w:tab w:leader="none" w:pos="1879"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Authorized Number of Shares</w:t>
      </w:r>
      <w:r>
        <w:rPr>
          <w:rFonts w:ascii="Times New Roman" w:cs="Times New Roman" w:eastAsia="Times New Roman" w:hAnsi="Times New Roman"/>
          <w:sz w:val="18"/>
          <w:szCs w:val="18"/>
          <w:color w:val="auto"/>
        </w:rPr>
        <w:t>. Subject to adjustment under Section 9, Awards may be made under the Plan for up to 5,600,000 shares of common stock, $0.001 par value per share, of the Company (the “Common Stock”). Shares issued under the Plan may consist in whole or in part of authorized but unissued shares or treasury shares.</w:t>
      </w:r>
    </w:p>
    <w:p>
      <w:pPr>
        <w:spacing w:after="0" w:line="176" w:lineRule="exact"/>
        <w:rPr>
          <w:sz w:val="20"/>
          <w:szCs w:val="20"/>
          <w:color w:val="auto"/>
        </w:rPr>
      </w:pPr>
    </w:p>
    <w:p>
      <w:pPr>
        <w:ind w:left="500" w:hanging="492"/>
        <w:spacing w:after="0"/>
        <w:tabs>
          <w:tab w:leader="none" w:pos="5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herein, the Plan shall remain in full force and effect.</w:t>
      </w:r>
    </w:p>
    <w:p>
      <w:pPr>
        <w:spacing w:after="0" w:line="225" w:lineRule="exact"/>
        <w:rPr>
          <w:rFonts w:ascii="Times New Roman" w:cs="Times New Roman" w:eastAsia="Times New Roman" w:hAnsi="Times New Roman"/>
          <w:sz w:val="18"/>
          <w:szCs w:val="18"/>
          <w:color w:val="auto"/>
        </w:rPr>
      </w:pPr>
    </w:p>
    <w:p>
      <w:pPr>
        <w:ind w:left="5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w:t>
      </w:r>
    </w:p>
    <w:p>
      <w:pPr>
        <w:spacing w:after="0" w:line="2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Approved by the Board of Directors on May 12,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Calculation of Filing Fee Tables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S-8</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Type)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IVERIC bio,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1—Newly Registered Securities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Proposed</w:t>
            </w:r>
          </w:p>
        </w:tc>
        <w:tc>
          <w:tcPr>
            <w:tcW w:w="120" w:type="dxa"/>
            <w:vAlign w:val="bottom"/>
          </w:tcPr>
          <w:p>
            <w:pPr>
              <w:spacing w:after="0"/>
              <w:rPr>
                <w:sz w:val="13"/>
                <w:szCs w:val="13"/>
                <w:color w:val="auto"/>
              </w:rPr>
            </w:pPr>
          </w:p>
        </w:tc>
        <w:tc>
          <w:tcPr>
            <w:tcW w:w="116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1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Fee</w:t>
            </w: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1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0" w:type="dxa"/>
            <w:vAlign w:val="bottom"/>
          </w:tcPr>
          <w:p>
            <w:pPr>
              <w:spacing w:after="0"/>
              <w:rPr>
                <w:sz w:val="1"/>
                <w:szCs w:val="1"/>
                <w:color w:val="auto"/>
              </w:rPr>
            </w:pPr>
          </w:p>
        </w:tc>
      </w:tr>
      <w:tr>
        <w:trPr>
          <w:trHeight w:val="148"/>
        </w:trPr>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8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Security Class</w:t>
            </w:r>
          </w:p>
        </w:tc>
        <w:tc>
          <w:tcPr>
            <w:tcW w:w="920" w:type="dxa"/>
            <w:vAlign w:val="bottom"/>
            <w:gridSpan w:val="2"/>
            <w:vMerge w:val="continue"/>
          </w:tcPr>
          <w:p>
            <w:pPr>
              <w:spacing w:after="0"/>
              <w:rPr>
                <w:sz w:val="12"/>
                <w:szCs w:val="12"/>
                <w:color w:val="auto"/>
              </w:rPr>
            </w:pP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Amount Registered</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Offering</w:t>
            </w:r>
          </w:p>
        </w:tc>
        <w:tc>
          <w:tcPr>
            <w:tcW w:w="120" w:type="dxa"/>
            <w:vAlign w:val="bottom"/>
          </w:tcPr>
          <w:p>
            <w:pPr>
              <w:spacing w:after="0"/>
              <w:rPr>
                <w:sz w:val="12"/>
                <w:szCs w:val="12"/>
                <w:color w:val="auto"/>
              </w:rPr>
            </w:pPr>
          </w:p>
        </w:tc>
        <w:tc>
          <w:tcPr>
            <w:tcW w:w="116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1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Security Type</w:t>
            </w:r>
          </w:p>
        </w:tc>
        <w:tc>
          <w:tcPr>
            <w:tcW w:w="100" w:type="dxa"/>
            <w:vAlign w:val="bottom"/>
          </w:tcPr>
          <w:p>
            <w:pPr>
              <w:spacing w:after="0"/>
              <w:rPr>
                <w:sz w:val="12"/>
                <w:szCs w:val="12"/>
                <w:color w:val="auto"/>
              </w:rPr>
            </w:pPr>
          </w:p>
        </w:tc>
        <w:tc>
          <w:tcPr>
            <w:tcW w:w="1980" w:type="dxa"/>
            <w:vAlign w:val="bottom"/>
            <w:gridSpan w:val="3"/>
            <w:vMerge w:val="continue"/>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Calculation</w:t>
            </w:r>
          </w:p>
        </w:tc>
        <w:tc>
          <w:tcPr>
            <w:tcW w:w="14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120" w:type="dxa"/>
            <w:vAlign w:val="bottom"/>
          </w:tcPr>
          <w:p>
            <w:pPr>
              <w:spacing w:after="0"/>
              <w:rPr>
                <w:sz w:val="12"/>
                <w:szCs w:val="12"/>
                <w:color w:val="auto"/>
              </w:rPr>
            </w:pPr>
          </w:p>
        </w:tc>
        <w:tc>
          <w:tcPr>
            <w:tcW w:w="116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Offering</w:t>
            </w:r>
          </w:p>
        </w:tc>
        <w:tc>
          <w:tcPr>
            <w:tcW w:w="19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Fee Rate</w:t>
            </w:r>
          </w:p>
        </w:tc>
        <w:tc>
          <w:tcPr>
            <w:tcW w:w="80" w:type="dxa"/>
            <w:vAlign w:val="bottom"/>
          </w:tcPr>
          <w:p>
            <w:pPr>
              <w:spacing w:after="0"/>
              <w:rPr>
                <w:sz w:val="12"/>
                <w:szCs w:val="12"/>
                <w:color w:val="auto"/>
              </w:rPr>
            </w:pPr>
          </w:p>
        </w:tc>
        <w:tc>
          <w:tcPr>
            <w:tcW w:w="102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Registration</w:t>
            </w:r>
          </w:p>
        </w:tc>
        <w:tc>
          <w:tcPr>
            <w:tcW w:w="0" w:type="dxa"/>
            <w:vAlign w:val="bottom"/>
          </w:tcPr>
          <w:p>
            <w:pPr>
              <w:spacing w:after="0"/>
              <w:rPr>
                <w:sz w:val="1"/>
                <w:szCs w:val="1"/>
                <w:color w:val="auto"/>
              </w:rPr>
            </w:pPr>
          </w:p>
        </w:tc>
      </w:tr>
      <w:tr>
        <w:trPr>
          <w:trHeight w:val="173"/>
        </w:trPr>
        <w:tc>
          <w:tcPr>
            <w:tcW w:w="11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98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Rule</w:t>
            </w: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Unit</w:t>
            </w:r>
          </w:p>
        </w:tc>
        <w:tc>
          <w:tcPr>
            <w:tcW w:w="120" w:type="dxa"/>
            <w:vAlign w:val="bottom"/>
          </w:tcPr>
          <w:p>
            <w:pPr>
              <w:spacing w:after="0"/>
              <w:rPr>
                <w:sz w:val="15"/>
                <w:szCs w:val="15"/>
                <w:color w:val="auto"/>
              </w:rPr>
            </w:pPr>
          </w:p>
        </w:tc>
        <w:tc>
          <w:tcPr>
            <w:tcW w:w="11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9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Fee</w:t>
            </w:r>
          </w:p>
        </w:tc>
        <w:tc>
          <w:tcPr>
            <w:tcW w:w="0" w:type="dxa"/>
            <w:vAlign w:val="bottom"/>
          </w:tcPr>
          <w:p>
            <w:pPr>
              <w:spacing w:after="0"/>
              <w:rPr>
                <w:sz w:val="1"/>
                <w:szCs w:val="1"/>
                <w:color w:val="auto"/>
              </w:rPr>
            </w:pPr>
          </w:p>
        </w:tc>
      </w:tr>
      <w:tr>
        <w:trPr>
          <w:trHeight w:val="119"/>
        </w:trPr>
        <w:tc>
          <w:tcPr>
            <w:tcW w:w="1100" w:type="dxa"/>
            <w:vAlign w:val="bottom"/>
            <w:tcBorders>
              <w:top w:val="single" w:sz="8" w:color="auto"/>
            </w:tcBorders>
            <w:shd w:val="clear" w:color="auto" w:fill="CCEEFF"/>
          </w:tcPr>
          <w:p>
            <w:pPr>
              <w:jc w:val="center"/>
              <w:spacing w:after="0" w:line="119" w:lineRule="exact"/>
              <w:rPr>
                <w:sz w:val="20"/>
                <w:szCs w:val="20"/>
                <w:color w:val="auto"/>
              </w:rPr>
            </w:pPr>
            <w:r>
              <w:rPr>
                <w:rFonts w:ascii="Times New Roman" w:cs="Times New Roman" w:eastAsia="Times New Roman" w:hAnsi="Times New Roman"/>
                <w:sz w:val="13"/>
                <w:szCs w:val="13"/>
                <w:color w:val="auto"/>
              </w:rPr>
              <w:t>Equity</w:t>
            </w:r>
          </w:p>
        </w:tc>
        <w:tc>
          <w:tcPr>
            <w:tcW w:w="100" w:type="dxa"/>
            <w:vAlign w:val="bottom"/>
            <w:tcBorders>
              <w:top w:val="single" w:sz="8" w:color="CCEEFF"/>
            </w:tcBorders>
            <w:shd w:val="clear" w:color="auto" w:fill="CCEEFF"/>
          </w:tcPr>
          <w:p>
            <w:pPr>
              <w:spacing w:after="0"/>
              <w:rPr>
                <w:sz w:val="10"/>
                <w:szCs w:val="10"/>
                <w:color w:val="auto"/>
              </w:rPr>
            </w:pPr>
          </w:p>
        </w:tc>
        <w:tc>
          <w:tcPr>
            <w:tcW w:w="1800" w:type="dxa"/>
            <w:vAlign w:val="bottom"/>
            <w:tcBorders>
              <w:top w:val="single" w:sz="8" w:color="auto"/>
            </w:tcBorders>
            <w:shd w:val="clear" w:color="auto" w:fill="CCEEFF"/>
          </w:tcPr>
          <w:p>
            <w:pPr>
              <w:spacing w:after="0" w:line="119" w:lineRule="exact"/>
              <w:rPr>
                <w:sz w:val="20"/>
                <w:szCs w:val="20"/>
                <w:color w:val="auto"/>
              </w:rPr>
            </w:pPr>
            <w:r>
              <w:rPr>
                <w:rFonts w:ascii="Times New Roman" w:cs="Times New Roman" w:eastAsia="Times New Roman" w:hAnsi="Times New Roman"/>
                <w:sz w:val="13"/>
                <w:szCs w:val="13"/>
                <w:color w:val="auto"/>
              </w:rPr>
              <w:t>Common Stock, $0.001 par</w:t>
            </w: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4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spacing w:after="0"/>
              <w:rPr>
                <w:sz w:val="10"/>
                <w:szCs w:val="10"/>
                <w:color w:val="auto"/>
              </w:rPr>
            </w:pPr>
          </w:p>
        </w:tc>
        <w:tc>
          <w:tcPr>
            <w:tcW w:w="28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880" w:type="dxa"/>
            <w:vAlign w:val="bottom"/>
            <w:tcBorders>
              <w:top w:val="single" w:sz="8" w:color="auto"/>
            </w:tcBorders>
            <w:shd w:val="clear" w:color="auto" w:fill="CCEEFF"/>
          </w:tcPr>
          <w:p>
            <w:pPr>
              <w:spacing w:after="0"/>
              <w:rPr>
                <w:sz w:val="10"/>
                <w:szCs w:val="10"/>
                <w:color w:val="auto"/>
              </w:rPr>
            </w:pPr>
          </w:p>
        </w:tc>
        <w:tc>
          <w:tcPr>
            <w:tcW w:w="280" w:type="dxa"/>
            <w:vAlign w:val="bottom"/>
            <w:tcBorders>
              <w:top w:val="single" w:sz="8" w:color="CCEEFF"/>
            </w:tcBorders>
            <w:shd w:val="clear" w:color="auto" w:fill="CCEEFF"/>
          </w:tcPr>
          <w:p>
            <w:pPr>
              <w:spacing w:after="0"/>
              <w:rPr>
                <w:sz w:val="10"/>
                <w:szCs w:val="10"/>
                <w:color w:val="auto"/>
              </w:rPr>
            </w:pPr>
          </w:p>
        </w:tc>
        <w:tc>
          <w:tcPr>
            <w:tcW w:w="1800" w:type="dxa"/>
            <w:vAlign w:val="bottom"/>
            <w:tcBorders>
              <w:top w:val="single" w:sz="8" w:color="auto"/>
            </w:tcBorders>
            <w:shd w:val="clear" w:color="auto" w:fill="CCEEFF"/>
          </w:tcPr>
          <w:p>
            <w:pPr>
              <w:jc w:val="center"/>
              <w:spacing w:after="0" w:line="119" w:lineRule="exact"/>
              <w:rPr>
                <w:sz w:val="20"/>
                <w:szCs w:val="20"/>
                <w:color w:val="auto"/>
              </w:rPr>
            </w:pPr>
            <w:r>
              <w:rPr>
                <w:rFonts w:ascii="Times New Roman" w:cs="Times New Roman" w:eastAsia="Times New Roman" w:hAnsi="Times New Roman"/>
                <w:sz w:val="13"/>
                <w:szCs w:val="13"/>
                <w:color w:val="auto"/>
              </w:rPr>
              <w:t>$92.70</w:t>
            </w:r>
          </w:p>
        </w:tc>
        <w:tc>
          <w:tcPr>
            <w:tcW w:w="1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1100" w:type="dxa"/>
            <w:vAlign w:val="bottom"/>
            <w:shd w:val="clear" w:color="auto" w:fill="CCEEFF"/>
          </w:tcPr>
          <w:p>
            <w:pPr>
              <w:spacing w:after="0"/>
              <w:rPr>
                <w:sz w:val="16"/>
                <w:szCs w:val="16"/>
                <w:color w:val="auto"/>
              </w:rPr>
            </w:pPr>
          </w:p>
        </w:tc>
        <w:tc>
          <w:tcPr>
            <w:tcW w:w="208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value per share</w:t>
            </w:r>
          </w:p>
        </w:tc>
        <w:tc>
          <w:tcPr>
            <w:tcW w:w="92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4"/>
                <w:szCs w:val="14"/>
                <w:color w:val="auto"/>
              </w:rPr>
              <w:t>Other</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1,000,000 shares (2)</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10.91(3)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10,910,000(3)</w:t>
            </w:r>
          </w:p>
        </w:tc>
        <w:tc>
          <w:tcPr>
            <w:tcW w:w="19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per $1,000,000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1,012.00</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1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900" w:type="dxa"/>
            <w:vAlign w:val="bottom"/>
            <w:tcBorders>
              <w:bottom w:val="single" w:sz="8" w:color="CCEEFF"/>
            </w:tcBorders>
            <w:gridSpan w:val="5"/>
          </w:tcPr>
          <w:p>
            <w:pPr>
              <w:jc w:val="center"/>
              <w:ind w:left="189"/>
              <w:spacing w:after="0" w:line="142" w:lineRule="exact"/>
              <w:rPr>
                <w:sz w:val="20"/>
                <w:szCs w:val="20"/>
                <w:color w:val="auto"/>
              </w:rPr>
            </w:pPr>
            <w:r>
              <w:rPr>
                <w:rFonts w:ascii="Times New Roman" w:cs="Times New Roman" w:eastAsia="Times New Roman" w:hAnsi="Times New Roman"/>
                <w:sz w:val="14"/>
                <w:szCs w:val="14"/>
                <w:b w:val="1"/>
                <w:bCs w:val="1"/>
                <w:color w:val="auto"/>
              </w:rPr>
              <w:t>Total Offering Amounts</w:t>
            </w:r>
          </w:p>
        </w:tc>
        <w:tc>
          <w:tcPr>
            <w:tcW w:w="14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6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ind w:left="240"/>
              <w:spacing w:after="0" w:line="142" w:lineRule="exact"/>
              <w:rPr>
                <w:sz w:val="20"/>
                <w:szCs w:val="20"/>
                <w:color w:val="auto"/>
              </w:rPr>
            </w:pPr>
            <w:r>
              <w:rPr>
                <w:rFonts w:ascii="Times New Roman" w:cs="Times New Roman" w:eastAsia="Times New Roman" w:hAnsi="Times New Roman"/>
                <w:sz w:val="14"/>
                <w:szCs w:val="14"/>
                <w:color w:val="auto"/>
                <w:w w:val="98"/>
              </w:rPr>
              <w:t>10,910,000</w:t>
            </w:r>
          </w:p>
        </w:tc>
        <w:tc>
          <w:tcPr>
            <w:tcW w:w="280" w:type="dxa"/>
            <w:vAlign w:val="bottom"/>
            <w:tcBorders>
              <w:bottom w:val="single" w:sz="8" w:color="CCEEFF"/>
            </w:tcBorders>
          </w:tcPr>
          <w:p>
            <w:pPr>
              <w:spacing w:after="0"/>
              <w:rPr>
                <w:sz w:val="12"/>
                <w:szCs w:val="12"/>
                <w:color w:val="auto"/>
              </w:rPr>
            </w:pPr>
          </w:p>
        </w:tc>
        <w:tc>
          <w:tcPr>
            <w:tcW w:w="18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1,012.00</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900" w:type="dxa"/>
            <w:vAlign w:val="bottom"/>
            <w:gridSpan w:val="5"/>
            <w:shd w:val="clear" w:color="auto" w:fill="CCEEFF"/>
          </w:tcPr>
          <w:p>
            <w:pPr>
              <w:jc w:val="center"/>
              <w:ind w:left="189"/>
              <w:spacing w:after="0" w:line="142" w:lineRule="exact"/>
              <w:rPr>
                <w:sz w:val="20"/>
                <w:szCs w:val="20"/>
                <w:color w:val="auto"/>
              </w:rPr>
            </w:pPr>
            <w:r>
              <w:rPr>
                <w:rFonts w:ascii="Times New Roman" w:cs="Times New Roman" w:eastAsia="Times New Roman" w:hAnsi="Times New Roman"/>
                <w:sz w:val="14"/>
                <w:szCs w:val="14"/>
                <w:b w:val="1"/>
                <w:bCs w:val="1"/>
                <w:color w:val="auto"/>
              </w:rPr>
              <w:t>Total Fee Offsets</w:t>
            </w:r>
          </w:p>
        </w:tc>
        <w:tc>
          <w:tcPr>
            <w:tcW w:w="1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0.00</w:t>
            </w:r>
          </w:p>
        </w:tc>
        <w:tc>
          <w:tcPr>
            <w:tcW w:w="100" w:type="dxa"/>
            <w:vAlign w:val="bottom"/>
            <w:gridSpan w:val="2"/>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80" w:type="dxa"/>
            <w:vAlign w:val="bottom"/>
            <w:gridSpan w:val="3"/>
          </w:tcPr>
          <w:p>
            <w:pPr>
              <w:jc w:val="center"/>
              <w:ind w:left="1109"/>
              <w:spacing w:after="0" w:line="155" w:lineRule="exact"/>
              <w:rPr>
                <w:sz w:val="20"/>
                <w:szCs w:val="20"/>
                <w:color w:val="auto"/>
              </w:rPr>
            </w:pPr>
            <w:r>
              <w:rPr>
                <w:rFonts w:ascii="Times New Roman" w:cs="Times New Roman" w:eastAsia="Times New Roman" w:hAnsi="Times New Roman"/>
                <w:sz w:val="14"/>
                <w:szCs w:val="14"/>
                <w:b w:val="1"/>
                <w:bCs w:val="1"/>
                <w:color w:val="auto"/>
              </w:rPr>
              <w:t>Net Fee Due</w:t>
            </w: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1,012.00</w:t>
            </w:r>
          </w:p>
        </w:tc>
        <w:tc>
          <w:tcPr>
            <w:tcW w:w="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ind w:left="460" w:right="260" w:hanging="452"/>
        <w:spacing w:after="0" w:line="233" w:lineRule="auto"/>
        <w:tabs>
          <w:tab w:leader="none" w:pos="4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accordance with Rule 416 under the Securities Act of 1933, as amended, this registration statement shall be deemed to cover any additional securities that may from time to time be offered or issued to prevent dilution resulting from stock splits, stock dividends or similar transactions.</w:t>
      </w:r>
    </w:p>
    <w:p>
      <w:pPr>
        <w:ind w:left="460" w:right="180" w:hanging="452"/>
        <w:spacing w:after="0" w:line="221" w:lineRule="auto"/>
        <w:tabs>
          <w:tab w:leader="none" w:pos="4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1,000,000 additional shares of the Registrant’s Common Stock available under the Registrant’s 2019 Inducement Stock Incentive Plan as a result of an increase approved by the Registrant’s board of directors.</w:t>
      </w:r>
    </w:p>
    <w:p>
      <w:pPr>
        <w:ind w:left="460" w:right="20" w:hanging="452"/>
        <w:spacing w:after="0" w:line="233" w:lineRule="auto"/>
        <w:tabs>
          <w:tab w:leader="none" w:pos="4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Estimated solely for the purpose of calculating the registration fee in accordance with Rule 457(c) and 457(h) of the Securities Act of 1933, as amended. The price per share and aggregate offering price are calculated on the basis of $10.91, the average of the high and low sales prices of the Registrant’s Common Stock as reported on The Nasdaq Global Select Market on July 25, 2022 in accordance with Rule 457(c) of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lvl w:ilvl="1">
      <w:lvlJc w:val="left"/>
      <w:lvlText w:val="(%2)"/>
      <w:numFmt w:val="decimal"/>
      <w:start w:val="1"/>
    </w:lvl>
  </w:abstractNum>
  <w:abstractNum w:abstractNumId="1">
    <w:nsid w:val="74B0DC51"/>
    <w:multiLevelType w:val="hybridMultilevel"/>
    <w:lvl w:ilvl="0">
      <w:lvlJc w:val="left"/>
      <w:lvlText w:val="%1."/>
      <w:numFmt w:val="decimal"/>
      <w:start w:val="3"/>
    </w:lvl>
    <w:lvl w:ilvl="1">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8" Type="http://schemas.openxmlformats.org/officeDocument/2006/relationships/image" Target="media/image6.png"/><Relationship Id="rId26" Type="http://schemas.openxmlformats.org/officeDocument/2006/relationships/image" Target="media/image7.png"/><Relationship Id="rId27" Type="http://schemas.openxmlformats.org/officeDocument/2006/relationships/image" Target="media/image8.png"/><Relationship Id="rId28" Type="http://schemas.openxmlformats.org/officeDocument/2006/relationships/image" Target="media/image9.png"/><Relationship Id="rId29" Type="http://schemas.openxmlformats.org/officeDocument/2006/relationships/image" Target="media/image10.png"/><Relationship Id="rId30" Type="http://schemas.openxmlformats.org/officeDocument/2006/relationships/image" Target="media/image11.png"/><Relationship Id="rId31" Type="http://schemas.openxmlformats.org/officeDocument/2006/relationships/image" Target="media/image12.png"/><Relationship Id="rId32" Type="http://schemas.openxmlformats.org/officeDocument/2006/relationships/image" Target="media/image13.png"/><Relationship Id="rId33" Type="http://schemas.openxmlformats.org/officeDocument/2006/relationships/image" Target="media/image14.png"/><Relationship Id="rId34" Type="http://schemas.openxmlformats.org/officeDocument/2006/relationships/image" Target="media/image15.png"/><Relationship Id="rId35" Type="http://schemas.openxmlformats.org/officeDocument/2006/relationships/image" Target="media/image16.png"/><Relationship Id="rId36" Type="http://schemas.openxmlformats.org/officeDocument/2006/relationships/image" Target="media/image17.png"/><Relationship Id="rId37" Type="http://schemas.openxmlformats.org/officeDocument/2006/relationships/image" Target="media/image18.png"/><Relationship Id="rId38" Type="http://schemas.openxmlformats.org/officeDocument/2006/relationships/image" Target="media/image19.png"/><Relationship Id="rId39" Type="http://schemas.openxmlformats.org/officeDocument/2006/relationships/image" Target="media/image20.png"/><Relationship Id="rId40" Type="http://schemas.openxmlformats.org/officeDocument/2006/relationships/image" Target="media/image21.png"/><Relationship Id="rId41" Type="http://schemas.openxmlformats.org/officeDocument/2006/relationships/image" Target="media/image22.png"/><Relationship Id="rId42" Type="http://schemas.openxmlformats.org/officeDocument/2006/relationships/image" Target="media/image23.jpeg"/><Relationship Id="rId43" Type="http://schemas.openxmlformats.org/officeDocument/2006/relationships/image" Target="media/image24.png"/><Relationship Id="rId44" Type="http://schemas.openxmlformats.org/officeDocument/2006/relationships/image" Target="media/image25.png"/><Relationship Id="rId45" Type="http://schemas.openxmlformats.org/officeDocument/2006/relationships/image" Target="media/image26.png"/><Relationship Id="rId46" Type="http://schemas.openxmlformats.org/officeDocument/2006/relationships/image" Target="media/image27.png"/><Relationship Id="rId47" Type="http://schemas.openxmlformats.org/officeDocument/2006/relationships/image" Target="media/image28.png"/><Relationship Id="rId13" Type="http://schemas.openxmlformats.org/officeDocument/2006/relationships/hyperlink" Target="https://www.sec.gov/Archives/edgar/data/1410939/000141093919000057/iveric-formsx82019induceme.htm" TargetMode="External"/><Relationship Id="rId14" Type="http://schemas.openxmlformats.org/officeDocument/2006/relationships/hyperlink" Target="https://www.sec.gov/Archives/edgar/data/1410939/000141093920000024/iveric-2019inducementplan2.htm" TargetMode="External"/><Relationship Id="rId15" Type="http://schemas.openxmlformats.org/officeDocument/2006/relationships/hyperlink" Target="https://www.sec.gov/Archives/edgar/data/1410939/000110465921032302/tm218379-1_s8.htm" TargetMode="External"/><Relationship Id="rId16" Type="http://schemas.openxmlformats.org/officeDocument/2006/relationships/hyperlink" Target="https://www.sec.gov/Archives/edgar/data/1410939/000110465921136300/tm2132353d1_s8.htm" TargetMode="External"/><Relationship Id="rId17" Type="http://schemas.openxmlformats.org/officeDocument/2006/relationships/hyperlink" Target="https://www.sec.gov/Archives/edgar/data/1410939/000110465922026728/tm227508d2_s8.htm" TargetMode="External"/><Relationship Id="rId19" Type="http://schemas.openxmlformats.org/officeDocument/2006/relationships/hyperlink" Target="https://www.sec.gov/Archives/edgar/data/1410939/000141093921000007/isee12312020exhibit31.htm" TargetMode="External"/><Relationship Id="rId20" Type="http://schemas.openxmlformats.org/officeDocument/2006/relationships/hyperlink" Target="https://www.sec.gov/Archives/edgar/data/1410939/000119312513360785/d560505dex34.htm" TargetMode="External"/><Relationship Id="rId21" Type="http://schemas.openxmlformats.org/officeDocument/2006/relationships/hyperlink" Target="https://www.sec.gov/Archives/edgar/data/1410939/000141093919000057/iveric-2019inducementstock.htm" TargetMode="External"/><Relationship Id="rId22" Type="http://schemas.openxmlformats.org/officeDocument/2006/relationships/hyperlink" Target="https://www.sec.gov/Archives/edgar/data/1410939/000141093920000023/inducementplanamendment.htm" TargetMode="External"/><Relationship Id="rId23" Type="http://schemas.openxmlformats.org/officeDocument/2006/relationships/hyperlink" Target="https://www.sec.gov/Archives/edgar/data/1410939/000141093921000007/isee12312020exhibit1012.htm" TargetMode="External"/><Relationship Id="rId24" Type="http://schemas.openxmlformats.org/officeDocument/2006/relationships/hyperlink" Target="https://www.sec.gov/Archives/edgar/data/1410939/000141093921000051/isee9302021exhibit103.htm" TargetMode="External"/><Relationship Id="rId25" Type="http://schemas.openxmlformats.org/officeDocument/2006/relationships/hyperlink" Target="https://www.sec.gov/Archives/edgar/data/1410939/000141093922000015/exhibit1014amendmentno4to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2022-07-26T16:02:52Z</dcterms:created>
  <dcterms:modified xsi:type="dcterms:W3CDTF">2022-07-26T16:02:52Z</dcterms:modified>
</cp:coreProperties>
</file>